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CF" w:rsidRDefault="00DC5BCF">
      <w:pPr>
        <w:pStyle w:val="Title"/>
        <w:widowControl w:val="0"/>
        <w:rPr>
          <w:rFonts w:ascii="Arial" w:hAnsi="Arial"/>
          <w:snapToGrid w:val="0"/>
        </w:rPr>
      </w:pPr>
    </w:p>
    <w:p w:rsidR="00DC5BCF" w:rsidRDefault="00DC5BCF">
      <w:pPr>
        <w:pStyle w:val="Title"/>
        <w:widowControl w:val="0"/>
        <w:rPr>
          <w:rFonts w:ascii="Arial" w:hAnsi="Arial"/>
          <w:snapToGrid w:val="0"/>
        </w:rPr>
      </w:pPr>
    </w:p>
    <w:p w:rsidR="00DC5BCF" w:rsidRDefault="00DC5BCF">
      <w:pPr>
        <w:pStyle w:val="Title"/>
        <w:widowControl w:val="0"/>
        <w:rPr>
          <w:rFonts w:ascii="Arial" w:hAnsi="Arial"/>
          <w:snapToGrid w:val="0"/>
        </w:rPr>
      </w:pPr>
    </w:p>
    <w:p w:rsidR="00DC5BCF" w:rsidRDefault="00DC5BCF">
      <w:pPr>
        <w:pStyle w:val="Title"/>
        <w:widowControl w:val="0"/>
        <w:rPr>
          <w:rFonts w:ascii="Arial" w:hAnsi="Arial"/>
          <w:snapToGrid w:val="0"/>
        </w:rPr>
      </w:pPr>
    </w:p>
    <w:p w:rsidR="00DC5BCF" w:rsidRDefault="00DC5BCF">
      <w:pPr>
        <w:pStyle w:val="Title"/>
        <w:widowControl w:val="0"/>
        <w:rPr>
          <w:rFonts w:ascii="Arial" w:hAnsi="Arial"/>
          <w:snapToGrid w:val="0"/>
        </w:rPr>
      </w:pPr>
    </w:p>
    <w:p w:rsidR="00DC5BCF" w:rsidRDefault="00DC5BCF">
      <w:pPr>
        <w:pStyle w:val="Title"/>
        <w:widowControl w:val="0"/>
        <w:rPr>
          <w:rFonts w:ascii="Arial" w:hAnsi="Arial"/>
          <w:snapToGrid w:val="0"/>
        </w:rPr>
      </w:pPr>
    </w:p>
    <w:p w:rsidR="00DC5BCF" w:rsidRDefault="00DC5BCF">
      <w:pPr>
        <w:pStyle w:val="Title"/>
        <w:widowControl w:val="0"/>
        <w:rPr>
          <w:rFonts w:ascii="Arial" w:hAnsi="Arial"/>
          <w:snapToGrid w:val="0"/>
        </w:rPr>
      </w:pPr>
    </w:p>
    <w:p w:rsidR="00DC5BCF" w:rsidRDefault="00DC5BCF">
      <w:pPr>
        <w:pStyle w:val="Title"/>
        <w:widowControl w:val="0"/>
        <w:rPr>
          <w:rFonts w:ascii="Arial" w:hAnsi="Arial"/>
          <w:snapToGrid w:val="0"/>
        </w:rPr>
      </w:pPr>
    </w:p>
    <w:p w:rsidR="00DC5BCF" w:rsidRDefault="00DC5BCF">
      <w:pPr>
        <w:pStyle w:val="Title"/>
        <w:widowControl w:val="0"/>
        <w:rPr>
          <w:rFonts w:ascii="Arial" w:hAnsi="Arial"/>
          <w:snapToGrid w:val="0"/>
        </w:rPr>
      </w:pPr>
    </w:p>
    <w:p w:rsidR="00DC5BCF" w:rsidRDefault="00DC5BCF">
      <w:pPr>
        <w:pStyle w:val="Title"/>
        <w:widowControl w:val="0"/>
        <w:rPr>
          <w:rFonts w:ascii="Arial" w:hAnsi="Arial"/>
          <w:snapToGrid w:val="0"/>
        </w:rPr>
      </w:pPr>
    </w:p>
    <w:p w:rsidR="00DC5BCF" w:rsidRDefault="00DC5BCF">
      <w:pPr>
        <w:pStyle w:val="Title"/>
        <w:widowControl w:val="0"/>
        <w:rPr>
          <w:rFonts w:ascii="Arial" w:hAnsi="Arial"/>
          <w:snapToGrid w:val="0"/>
        </w:rPr>
      </w:pPr>
    </w:p>
    <w:p w:rsidR="00DC5BCF" w:rsidRDefault="00DC5BCF">
      <w:pPr>
        <w:pStyle w:val="Title"/>
        <w:widowControl w:val="0"/>
        <w:rPr>
          <w:rFonts w:ascii="Arial" w:hAnsi="Arial"/>
          <w:snapToGrid w:val="0"/>
        </w:rPr>
      </w:pPr>
    </w:p>
    <w:p w:rsidR="007B5353" w:rsidRPr="00C37D3B" w:rsidRDefault="0053784D">
      <w:pPr>
        <w:jc w:val="center"/>
        <w:rPr>
          <w:b/>
          <w:sz w:val="28"/>
        </w:rPr>
      </w:pPr>
      <w:r>
        <w:rPr>
          <w:b/>
          <w:sz w:val="28"/>
        </w:rPr>
        <w:t>Management 127</w:t>
      </w:r>
      <w:r w:rsidR="00EF68C6">
        <w:rPr>
          <w:b/>
          <w:sz w:val="28"/>
        </w:rPr>
        <w:t>B</w:t>
      </w:r>
    </w:p>
    <w:p w:rsidR="007B5353" w:rsidRPr="00C37D3B" w:rsidRDefault="00715D54">
      <w:pPr>
        <w:jc w:val="center"/>
        <w:rPr>
          <w:b/>
          <w:sz w:val="28"/>
        </w:rPr>
      </w:pPr>
      <w:r>
        <w:rPr>
          <w:b/>
          <w:sz w:val="28"/>
        </w:rPr>
        <w:t>Winter 2011</w:t>
      </w:r>
    </w:p>
    <w:p w:rsidR="00675268" w:rsidRPr="00C37D3B" w:rsidRDefault="00675268">
      <w:pPr>
        <w:jc w:val="center"/>
        <w:rPr>
          <w:b/>
          <w:sz w:val="28"/>
        </w:rPr>
      </w:pPr>
    </w:p>
    <w:p w:rsidR="00675268" w:rsidRPr="00C37D3B" w:rsidRDefault="00675268">
      <w:pPr>
        <w:jc w:val="center"/>
        <w:rPr>
          <w:b/>
          <w:sz w:val="28"/>
        </w:rPr>
      </w:pPr>
    </w:p>
    <w:p w:rsidR="00675268" w:rsidRPr="00C37D3B" w:rsidRDefault="00675268">
      <w:pPr>
        <w:jc w:val="center"/>
        <w:rPr>
          <w:b/>
          <w:sz w:val="28"/>
        </w:rPr>
      </w:pPr>
    </w:p>
    <w:p w:rsidR="00675268" w:rsidRPr="00C37D3B" w:rsidRDefault="00675268">
      <w:pPr>
        <w:jc w:val="center"/>
        <w:rPr>
          <w:b/>
          <w:sz w:val="28"/>
        </w:rPr>
      </w:pPr>
      <w:r w:rsidRPr="00C37D3B">
        <w:rPr>
          <w:b/>
          <w:sz w:val="28"/>
        </w:rPr>
        <w:t>Mr. Gordon Klein</w:t>
      </w:r>
    </w:p>
    <w:p w:rsidR="007B5353" w:rsidRDefault="007B5353">
      <w:pPr>
        <w:jc w:val="center"/>
        <w:rPr>
          <w:rFonts w:ascii="Arial" w:hAnsi="Arial"/>
          <w:b/>
          <w:sz w:val="28"/>
        </w:rPr>
      </w:pPr>
    </w:p>
    <w:p w:rsidR="007B5353" w:rsidRDefault="007B5353">
      <w:pPr>
        <w:rPr>
          <w:rFonts w:ascii="Arial" w:hAnsi="Arial"/>
        </w:rPr>
      </w:pPr>
    </w:p>
    <w:p w:rsidR="00DC5BCF" w:rsidRDefault="00DC5BCF" w:rsidP="00DC5BCF">
      <w:pPr>
        <w:rPr>
          <w:sz w:val="32"/>
        </w:rPr>
      </w:pPr>
      <w:r>
        <w:t xml:space="preserve">              </w:t>
      </w:r>
    </w:p>
    <w:p w:rsidR="00DC5BCF" w:rsidRDefault="00DC5BCF" w:rsidP="00DC5BCF">
      <w:pPr>
        <w:rPr>
          <w:sz w:val="32"/>
        </w:rPr>
      </w:pPr>
    </w:p>
    <w:p w:rsidR="00DC5BCF" w:rsidRDefault="00DC5BCF" w:rsidP="00DC5BCF">
      <w:pPr>
        <w:rPr>
          <w:sz w:val="32"/>
        </w:rPr>
      </w:pPr>
    </w:p>
    <w:p w:rsidR="00DC5BCF" w:rsidRDefault="00DC5BCF" w:rsidP="00DC5BCF">
      <w:pPr>
        <w:rPr>
          <w:sz w:val="32"/>
        </w:rPr>
      </w:pPr>
      <w:r>
        <w:rPr>
          <w:sz w:val="32"/>
        </w:rPr>
        <w:t xml:space="preserve">         </w:t>
      </w:r>
    </w:p>
    <w:p w:rsidR="00DC5BCF" w:rsidRDefault="00DC5BCF" w:rsidP="00DC5BCF">
      <w:pPr>
        <w:jc w:val="center"/>
        <w:rPr>
          <w:sz w:val="32"/>
          <w:u w:val="single"/>
        </w:rPr>
      </w:pPr>
    </w:p>
    <w:p w:rsidR="00DC5BCF" w:rsidRDefault="00DC5BCF" w:rsidP="00DC5BCF">
      <w:pPr>
        <w:pStyle w:val="BodyText"/>
      </w:pPr>
    </w:p>
    <w:p w:rsidR="00DC5BCF" w:rsidRDefault="00DC5BCF" w:rsidP="00DC5BCF">
      <w:pPr>
        <w:pStyle w:val="BodyText"/>
      </w:pPr>
    </w:p>
    <w:p w:rsidR="00DC5BCF" w:rsidRDefault="00DC5BCF" w:rsidP="00DC5BCF">
      <w:pPr>
        <w:pStyle w:val="BodyText"/>
      </w:pPr>
    </w:p>
    <w:p w:rsidR="00DC5BCF" w:rsidRDefault="00DC5BCF" w:rsidP="00DC5BCF">
      <w:pPr>
        <w:pStyle w:val="BodyText"/>
      </w:pPr>
    </w:p>
    <w:p w:rsidR="00DC5BCF" w:rsidRDefault="00DC5BCF" w:rsidP="00DC5BCF">
      <w:pPr>
        <w:pStyle w:val="BodyText"/>
      </w:pPr>
    </w:p>
    <w:p w:rsidR="00DC5BCF" w:rsidRDefault="00DC5BCF" w:rsidP="00DC5BCF">
      <w:pPr>
        <w:rPr>
          <w:i/>
          <w:iCs/>
          <w:sz w:val="20"/>
        </w:rPr>
      </w:pPr>
    </w:p>
    <w:p w:rsidR="00DC5BCF" w:rsidRDefault="00DC5BCF" w:rsidP="00DC5BCF">
      <w:pPr>
        <w:rPr>
          <w:i/>
          <w:iCs/>
          <w:sz w:val="20"/>
        </w:rPr>
      </w:pPr>
    </w:p>
    <w:p w:rsidR="00DC5BCF" w:rsidRDefault="00DC5BCF" w:rsidP="00DC5BCF">
      <w:pPr>
        <w:jc w:val="center"/>
        <w:rPr>
          <w:sz w:val="32"/>
        </w:rPr>
      </w:pPr>
    </w:p>
    <w:p w:rsidR="00DC5BCF" w:rsidRDefault="00DC5BCF" w:rsidP="00DC5BCF">
      <w:pPr>
        <w:jc w:val="center"/>
        <w:rPr>
          <w:sz w:val="32"/>
        </w:rPr>
      </w:pPr>
    </w:p>
    <w:p w:rsidR="00DC5BCF" w:rsidRDefault="00DC5BCF" w:rsidP="00DC5BCF">
      <w:pPr>
        <w:jc w:val="center"/>
        <w:rPr>
          <w:sz w:val="32"/>
        </w:rPr>
      </w:pPr>
    </w:p>
    <w:p w:rsidR="00DC5BCF" w:rsidRDefault="00DC5BCF" w:rsidP="00DC5BCF">
      <w:pPr>
        <w:pStyle w:val="Heading1"/>
        <w:rPr>
          <w:b w:val="0"/>
        </w:rPr>
      </w:pPr>
    </w:p>
    <w:p w:rsidR="00DD350D" w:rsidRDefault="00DD350D" w:rsidP="00DC5BCF">
      <w:pPr>
        <w:pStyle w:val="Heading1"/>
        <w:rPr>
          <w:b w:val="0"/>
          <w:snapToGrid w:val="0"/>
        </w:rPr>
      </w:pPr>
    </w:p>
    <w:p w:rsidR="00705001" w:rsidRDefault="00705001" w:rsidP="00705001"/>
    <w:p w:rsidR="00BD151C" w:rsidRDefault="00BD151C" w:rsidP="00DC5BCF">
      <w:pPr>
        <w:pStyle w:val="Heading1"/>
        <w:rPr>
          <w:b w:val="0"/>
          <w:snapToGrid w:val="0"/>
        </w:rPr>
      </w:pPr>
    </w:p>
    <w:p w:rsidR="00DC5BCF" w:rsidRDefault="00DC5BCF" w:rsidP="00DC5BCF">
      <w:pPr>
        <w:pStyle w:val="Heading1"/>
      </w:pPr>
      <w:r>
        <w:t>Contact Information:</w:t>
      </w:r>
    </w:p>
    <w:p w:rsidR="00DC5BCF" w:rsidRDefault="00DC5BCF" w:rsidP="00DC5BCF"/>
    <w:p w:rsidR="00DC5BCF" w:rsidRDefault="00DC5BCF" w:rsidP="00DC5BCF">
      <w:r>
        <w:lastRenderedPageBreak/>
        <w:t xml:space="preserve">Gordon L. Klein                                             </w:t>
      </w:r>
    </w:p>
    <w:p w:rsidR="00DD350D" w:rsidRDefault="00DD350D" w:rsidP="008E572F">
      <w:r>
        <w:t xml:space="preserve">Office:  D521 (Mailbox: D413)     </w:t>
      </w:r>
      <w:r w:rsidR="00DC5BCF">
        <w:t>Email: gklein@anderson.ucla.edu</w:t>
      </w:r>
      <w:r w:rsidR="00DC5BCF">
        <w:tab/>
      </w:r>
      <w:r w:rsidR="00DC5BCF">
        <w:tab/>
      </w:r>
    </w:p>
    <w:p w:rsidR="00DC5BCF" w:rsidRPr="00DD350D" w:rsidRDefault="008E572F" w:rsidP="008E572F">
      <w:r w:rsidRPr="00815D5D">
        <w:rPr>
          <w:szCs w:val="24"/>
        </w:rPr>
        <w:t xml:space="preserve">Office Hours: Monday and </w:t>
      </w:r>
      <w:r w:rsidR="00B45685">
        <w:rPr>
          <w:szCs w:val="24"/>
        </w:rPr>
        <w:t>Wednesday; 7</w:t>
      </w:r>
      <w:r w:rsidR="00C602A6">
        <w:rPr>
          <w:szCs w:val="24"/>
        </w:rPr>
        <w:t>am-7:30am, and</w:t>
      </w:r>
      <w:r w:rsidR="00644E31">
        <w:rPr>
          <w:szCs w:val="24"/>
        </w:rPr>
        <w:t xml:space="preserve"> 11:30am to 12:30pm on class instruction days</w:t>
      </w:r>
    </w:p>
    <w:p w:rsidR="008E572F" w:rsidRDefault="008E572F" w:rsidP="008E572F"/>
    <w:p w:rsidR="00C37D3B" w:rsidRDefault="00DC5BCF" w:rsidP="00DC5BCF">
      <w:r>
        <w:t xml:space="preserve">My office is most easily accessed by entering from the southwest corner of the top level of adjacent Parking Structure, </w:t>
      </w:r>
      <w:smartTag w:uri="urn:schemas-microsoft-com:office:smarttags" w:element="place">
        <w:r>
          <w:t>Lot</w:t>
        </w:r>
      </w:smartTag>
      <w:r w:rsidR="00C37D3B">
        <w:t xml:space="preserve"> #5 (which is just west of the North Campus food court) </w:t>
      </w:r>
    </w:p>
    <w:p w:rsidR="00DC5BCF" w:rsidRDefault="00DC5BCF" w:rsidP="00DC5BCF">
      <w:r>
        <w:t xml:space="preserve">My office is one level above the Undergraduate Accounting Office in the </w:t>
      </w:r>
      <w:smartTag w:uri="urn:schemas-microsoft-com:office:smarttags" w:element="place">
        <w:smartTag w:uri="urn:schemas-microsoft-com:office:smarttags" w:element="PlaceName">
          <w:r>
            <w:t>Anderson</w:t>
          </w:r>
        </w:smartTag>
        <w:r>
          <w:t xml:space="preserve"> </w:t>
        </w:r>
        <w:smartTag w:uri="urn:schemas-microsoft-com:office:smarttags" w:element="PlaceType">
          <w:r>
            <w:t>School</w:t>
          </w:r>
        </w:smartTag>
      </w:smartTag>
      <w:r>
        <w:t xml:space="preserve">.  </w:t>
      </w:r>
    </w:p>
    <w:p w:rsidR="00DC5BCF" w:rsidRDefault="00DC5BCF" w:rsidP="00DC5BCF">
      <w:r>
        <w:t xml:space="preserve">  </w:t>
      </w:r>
    </w:p>
    <w:p w:rsidR="00DC5BCF" w:rsidRDefault="00DC5BCF" w:rsidP="00DC5BCF">
      <w:pPr>
        <w:pStyle w:val="Heading1"/>
      </w:pPr>
      <w:r>
        <w:t>Course Objectives:</w:t>
      </w:r>
    </w:p>
    <w:p w:rsidR="00DC5BCF" w:rsidRDefault="00DC5BCF" w:rsidP="00DC5BCF"/>
    <w:p w:rsidR="00DC5BCF" w:rsidRDefault="00DC5BCF" w:rsidP="00DC5BCF">
      <w:r>
        <w:t xml:space="preserve">The </w:t>
      </w:r>
      <w:r w:rsidR="00B45685">
        <w:t xml:space="preserve">course </w:t>
      </w:r>
      <w:r>
        <w:t>objecti</w:t>
      </w:r>
      <w:r w:rsidR="00B45685">
        <w:t>ve is for you to understand</w:t>
      </w:r>
      <w:r w:rsidR="002D05CB">
        <w:t xml:space="preserve"> th</w:t>
      </w:r>
      <w:r w:rsidR="00E678D2">
        <w:t>e economic and planning issues encountered in forming, operating, and terminating a business enterprise.</w:t>
      </w:r>
    </w:p>
    <w:p w:rsidR="00DC5BCF" w:rsidRDefault="00DC5BCF" w:rsidP="00DC5BCF">
      <w:pPr>
        <w:ind w:left="360"/>
      </w:pPr>
    </w:p>
    <w:p w:rsidR="00DC5BCF" w:rsidRDefault="00DC5BCF" w:rsidP="00DC5BCF">
      <w:r>
        <w:rPr>
          <w:b/>
        </w:rPr>
        <w:t xml:space="preserve">Prerequisites: </w:t>
      </w:r>
      <w:r w:rsidR="0053784D">
        <w:t>Introductory Accounting (Mgt. 127A is not a prerequisite)</w:t>
      </w:r>
    </w:p>
    <w:p w:rsidR="00DC5BCF" w:rsidRPr="00694D12" w:rsidRDefault="00DC5BCF" w:rsidP="00DC5BCF"/>
    <w:p w:rsidR="0053784D" w:rsidRPr="0053784D" w:rsidRDefault="00DC5BCF" w:rsidP="0053784D">
      <w:pPr>
        <w:rPr>
          <w:b/>
        </w:rPr>
      </w:pPr>
      <w:r>
        <w:rPr>
          <w:b/>
        </w:rPr>
        <w:t>Course Description:</w:t>
      </w:r>
    </w:p>
    <w:p w:rsidR="0053784D" w:rsidRPr="00815D5D" w:rsidRDefault="0053784D" w:rsidP="0053784D">
      <w:pPr>
        <w:ind w:right="-720"/>
        <w:jc w:val="both"/>
        <w:rPr>
          <w:szCs w:val="24"/>
        </w:rPr>
      </w:pPr>
    </w:p>
    <w:p w:rsidR="0053784D" w:rsidRPr="00815D5D" w:rsidRDefault="0053784D" w:rsidP="0053784D">
      <w:pPr>
        <w:ind w:right="-720"/>
        <w:jc w:val="both"/>
        <w:rPr>
          <w:szCs w:val="24"/>
        </w:rPr>
      </w:pPr>
      <w:r w:rsidRPr="00815D5D">
        <w:rPr>
          <w:szCs w:val="24"/>
        </w:rPr>
        <w:t>This course focuses on structuring complex business formations and acquis</w:t>
      </w:r>
      <w:r w:rsidR="00E678D2">
        <w:rPr>
          <w:szCs w:val="24"/>
        </w:rPr>
        <w:t>itions, as well as operating</w:t>
      </w:r>
      <w:r w:rsidRPr="00815D5D">
        <w:rPr>
          <w:szCs w:val="24"/>
        </w:rPr>
        <w:t xml:space="preserve"> closely-held business</w:t>
      </w:r>
      <w:r w:rsidR="00E678D2">
        <w:rPr>
          <w:szCs w:val="24"/>
        </w:rPr>
        <w:t>es</w:t>
      </w:r>
      <w:r w:rsidRPr="00815D5D">
        <w:rPr>
          <w:szCs w:val="24"/>
        </w:rPr>
        <w:t>.</w:t>
      </w:r>
    </w:p>
    <w:p w:rsidR="0053784D" w:rsidRPr="00815D5D" w:rsidRDefault="0053784D" w:rsidP="0053784D">
      <w:pPr>
        <w:ind w:right="-720"/>
        <w:jc w:val="both"/>
        <w:rPr>
          <w:szCs w:val="24"/>
        </w:rPr>
      </w:pPr>
    </w:p>
    <w:p w:rsidR="0053784D" w:rsidRPr="00815D5D" w:rsidRDefault="0053784D" w:rsidP="0053784D">
      <w:pPr>
        <w:ind w:right="-720"/>
        <w:jc w:val="both"/>
        <w:rPr>
          <w:szCs w:val="24"/>
        </w:rPr>
      </w:pPr>
      <w:r w:rsidRPr="00815D5D">
        <w:rPr>
          <w:szCs w:val="24"/>
        </w:rPr>
        <w:t>The course begins by examining basic techniques for converting ordinary income into capital gains, deferring income, and sheltering income with business and investment losses.</w:t>
      </w:r>
    </w:p>
    <w:p w:rsidR="0053784D" w:rsidRPr="00815D5D" w:rsidRDefault="0053784D" w:rsidP="0053784D">
      <w:pPr>
        <w:ind w:right="-720"/>
        <w:jc w:val="both"/>
        <w:rPr>
          <w:szCs w:val="24"/>
        </w:rPr>
      </w:pPr>
    </w:p>
    <w:p w:rsidR="0053784D" w:rsidRPr="00815D5D" w:rsidRDefault="0053784D" w:rsidP="0053784D">
      <w:pPr>
        <w:ind w:right="-720"/>
        <w:jc w:val="both"/>
        <w:rPr>
          <w:szCs w:val="24"/>
        </w:rPr>
      </w:pPr>
      <w:r w:rsidRPr="00815D5D">
        <w:rPr>
          <w:szCs w:val="24"/>
        </w:rPr>
        <w:t xml:space="preserve">The course then explores various strategies for forming new corporations and </w:t>
      </w:r>
      <w:r w:rsidR="00E678D2" w:rsidRPr="00815D5D">
        <w:rPr>
          <w:szCs w:val="24"/>
        </w:rPr>
        <w:t>expanding subsidiaries</w:t>
      </w:r>
      <w:r w:rsidRPr="00815D5D">
        <w:rPr>
          <w:szCs w:val="24"/>
        </w:rPr>
        <w:t xml:space="preserve"> of existing corporations.  The focus then shifts to how stockholders “access” their wealth through dividends, stock repurchases, liquida</w:t>
      </w:r>
      <w:r w:rsidR="00E678D2">
        <w:rPr>
          <w:szCs w:val="24"/>
        </w:rPr>
        <w:t xml:space="preserve">tions, and acquisitions. </w:t>
      </w:r>
      <w:r w:rsidRPr="00815D5D">
        <w:rPr>
          <w:szCs w:val="24"/>
        </w:rPr>
        <w:t>Tax considerations in buying and selling businesses are extensively examined.</w:t>
      </w:r>
    </w:p>
    <w:p w:rsidR="0053784D" w:rsidRPr="00815D5D" w:rsidRDefault="0053784D" w:rsidP="0053784D">
      <w:pPr>
        <w:ind w:right="-720"/>
        <w:jc w:val="both"/>
        <w:rPr>
          <w:szCs w:val="24"/>
        </w:rPr>
      </w:pPr>
    </w:p>
    <w:p w:rsidR="0053784D" w:rsidRPr="00815D5D" w:rsidRDefault="0053784D" w:rsidP="0053784D">
      <w:pPr>
        <w:ind w:right="-720"/>
        <w:jc w:val="both"/>
        <w:rPr>
          <w:szCs w:val="24"/>
        </w:rPr>
      </w:pPr>
      <w:r w:rsidRPr="00815D5D">
        <w:rPr>
          <w:szCs w:val="24"/>
        </w:rPr>
        <w:t>Finally, the course shift</w:t>
      </w:r>
      <w:r w:rsidR="00E678D2">
        <w:rPr>
          <w:szCs w:val="24"/>
        </w:rPr>
        <w:t>s its emphasis to selecting</w:t>
      </w:r>
      <w:r w:rsidRPr="00815D5D">
        <w:rPr>
          <w:szCs w:val="24"/>
        </w:rPr>
        <w:t xml:space="preserve"> the best entity for operating a closely-held business, including S corporations, partnerships, limited partnerships, limited liability partnerships (“LLPs”), and limited liability companies (“LLCs”).</w:t>
      </w:r>
    </w:p>
    <w:p w:rsidR="00DD350D" w:rsidRPr="00815D5D" w:rsidRDefault="00DD350D" w:rsidP="0053784D">
      <w:pPr>
        <w:ind w:right="-720"/>
        <w:jc w:val="both"/>
        <w:rPr>
          <w:szCs w:val="24"/>
        </w:rPr>
      </w:pPr>
    </w:p>
    <w:p w:rsidR="0053784D" w:rsidRPr="00815D5D" w:rsidRDefault="0053784D" w:rsidP="0053784D">
      <w:pPr>
        <w:ind w:right="-720"/>
        <w:jc w:val="both"/>
        <w:rPr>
          <w:szCs w:val="24"/>
        </w:rPr>
      </w:pPr>
      <w:r w:rsidRPr="00815D5D">
        <w:rPr>
          <w:b/>
          <w:szCs w:val="24"/>
        </w:rPr>
        <w:t>Course Materials:</w:t>
      </w:r>
    </w:p>
    <w:p w:rsidR="0053784D" w:rsidRPr="00815D5D" w:rsidRDefault="0053784D" w:rsidP="0053784D">
      <w:pPr>
        <w:ind w:right="-720"/>
        <w:jc w:val="both"/>
        <w:rPr>
          <w:szCs w:val="24"/>
        </w:rPr>
      </w:pPr>
    </w:p>
    <w:p w:rsidR="0053784D" w:rsidRPr="00815D5D" w:rsidRDefault="00AC69CD" w:rsidP="00E678D2">
      <w:pPr>
        <w:numPr>
          <w:ilvl w:val="0"/>
          <w:numId w:val="9"/>
        </w:numPr>
        <w:ind w:right="-720"/>
        <w:jc w:val="both"/>
        <w:rPr>
          <w:szCs w:val="24"/>
        </w:rPr>
      </w:pPr>
      <w:proofErr w:type="spellStart"/>
      <w:r>
        <w:rPr>
          <w:szCs w:val="24"/>
          <w:u w:val="single"/>
        </w:rPr>
        <w:t>Southwestern</w:t>
      </w:r>
      <w:r w:rsidR="0053784D" w:rsidRPr="00DD350D">
        <w:rPr>
          <w:szCs w:val="24"/>
          <w:u w:val="single"/>
        </w:rPr>
        <w:t>’s</w:t>
      </w:r>
      <w:proofErr w:type="spellEnd"/>
      <w:r w:rsidR="0053784D" w:rsidRPr="00DD350D">
        <w:rPr>
          <w:szCs w:val="24"/>
          <w:u w:val="single"/>
        </w:rPr>
        <w:t xml:space="preserve"> Federal Taxation: Corporations, Partnerships</w:t>
      </w:r>
      <w:r w:rsidR="00644E31">
        <w:rPr>
          <w:szCs w:val="24"/>
        </w:rPr>
        <w:t>, 2011</w:t>
      </w:r>
      <w:r w:rsidR="0053784D" w:rsidRPr="00815D5D">
        <w:rPr>
          <w:szCs w:val="24"/>
        </w:rPr>
        <w:t xml:space="preserve"> Edition</w:t>
      </w:r>
      <w:r w:rsidR="00E678D2">
        <w:rPr>
          <w:szCs w:val="24"/>
        </w:rPr>
        <w:t xml:space="preserve">, available at the Lu Valle Commons bookstore on campus </w:t>
      </w:r>
      <w:r w:rsidR="00E678D2">
        <w:t xml:space="preserve">(Do not use an earlier edition. The page and problem assignments will not match the syllabus, and some of the rules will have changed.)  </w:t>
      </w:r>
    </w:p>
    <w:p w:rsidR="0053784D" w:rsidRPr="00815D5D" w:rsidRDefault="0053784D" w:rsidP="0053784D">
      <w:pPr>
        <w:ind w:right="-720"/>
        <w:jc w:val="both"/>
        <w:rPr>
          <w:szCs w:val="24"/>
        </w:rPr>
      </w:pPr>
    </w:p>
    <w:p w:rsidR="0053784D" w:rsidRPr="00815D5D" w:rsidRDefault="0053784D" w:rsidP="00E678D2">
      <w:pPr>
        <w:numPr>
          <w:ilvl w:val="0"/>
          <w:numId w:val="9"/>
        </w:numPr>
        <w:ind w:right="-720"/>
        <w:jc w:val="both"/>
        <w:rPr>
          <w:szCs w:val="24"/>
        </w:rPr>
      </w:pPr>
      <w:r w:rsidRPr="00815D5D">
        <w:rPr>
          <w:szCs w:val="24"/>
        </w:rPr>
        <w:t>Course Packet</w:t>
      </w:r>
      <w:r w:rsidR="00E678D2">
        <w:t xml:space="preserve">, available </w:t>
      </w:r>
      <w:r w:rsidR="00705001">
        <w:t>at Course Reader Material, 1137</w:t>
      </w:r>
      <w:r w:rsidR="00E678D2" w:rsidRPr="005D23E1">
        <w:t xml:space="preserve"> Westwood Blvd</w:t>
      </w:r>
    </w:p>
    <w:p w:rsidR="0053784D" w:rsidRPr="00815D5D" w:rsidRDefault="0053784D" w:rsidP="0053784D">
      <w:pPr>
        <w:ind w:right="-720"/>
        <w:jc w:val="both"/>
        <w:rPr>
          <w:szCs w:val="24"/>
        </w:rPr>
      </w:pPr>
    </w:p>
    <w:p w:rsidR="0053784D" w:rsidRPr="00815D5D" w:rsidRDefault="0053784D" w:rsidP="00E678D2">
      <w:pPr>
        <w:numPr>
          <w:ilvl w:val="0"/>
          <w:numId w:val="9"/>
        </w:numPr>
        <w:ind w:right="-720"/>
        <w:jc w:val="both"/>
        <w:rPr>
          <w:szCs w:val="24"/>
        </w:rPr>
      </w:pPr>
      <w:r w:rsidRPr="00815D5D">
        <w:rPr>
          <w:szCs w:val="24"/>
        </w:rPr>
        <w:t xml:space="preserve">Solutions Manual to Text Problems, on reserve at the Anderson (Rosenfeld) Library, located at the North end of the </w:t>
      </w:r>
      <w:smartTag w:uri="urn:schemas-microsoft-com:office:smarttags" w:element="place">
        <w:smartTag w:uri="urn:schemas-microsoft-com:office:smarttags" w:element="PlaceName">
          <w:r w:rsidRPr="00815D5D">
            <w:rPr>
              <w:szCs w:val="24"/>
            </w:rPr>
            <w:t>Anderson</w:t>
          </w:r>
        </w:smartTag>
        <w:r w:rsidRPr="00815D5D">
          <w:rPr>
            <w:szCs w:val="24"/>
          </w:rPr>
          <w:t xml:space="preserve"> </w:t>
        </w:r>
        <w:smartTag w:uri="urn:schemas-microsoft-com:office:smarttags" w:element="PlaceType">
          <w:r w:rsidRPr="00815D5D">
            <w:rPr>
              <w:szCs w:val="24"/>
            </w:rPr>
            <w:t>School</w:t>
          </w:r>
        </w:smartTag>
      </w:smartTag>
      <w:r w:rsidRPr="00815D5D">
        <w:rPr>
          <w:szCs w:val="24"/>
        </w:rPr>
        <w:t xml:space="preserve"> complex</w:t>
      </w:r>
    </w:p>
    <w:p w:rsidR="0053784D" w:rsidRPr="00815D5D" w:rsidRDefault="0053784D" w:rsidP="0053784D">
      <w:pPr>
        <w:ind w:right="-720"/>
        <w:jc w:val="both"/>
        <w:rPr>
          <w:szCs w:val="24"/>
        </w:rPr>
      </w:pPr>
    </w:p>
    <w:p w:rsidR="0053784D" w:rsidRPr="00815D5D" w:rsidRDefault="0053784D" w:rsidP="0053784D">
      <w:pPr>
        <w:ind w:right="-720"/>
        <w:jc w:val="both"/>
        <w:rPr>
          <w:szCs w:val="24"/>
        </w:rPr>
      </w:pPr>
      <w:r w:rsidRPr="00815D5D">
        <w:rPr>
          <w:szCs w:val="24"/>
        </w:rPr>
        <w:t xml:space="preserve">Please bring the course packet to each class session. </w:t>
      </w:r>
      <w:r w:rsidR="00705001">
        <w:rPr>
          <w:szCs w:val="24"/>
        </w:rPr>
        <w:t xml:space="preserve">I will cover most, but not all, pages in the course reader during class. </w:t>
      </w:r>
      <w:r w:rsidRPr="00815D5D">
        <w:rPr>
          <w:szCs w:val="24"/>
        </w:rPr>
        <w:t>You do not need to bring the textbook.</w:t>
      </w:r>
    </w:p>
    <w:p w:rsidR="00F86AD7" w:rsidRDefault="00F86AD7" w:rsidP="00DC5BCF"/>
    <w:p w:rsidR="000034F4" w:rsidRDefault="00DC5BCF" w:rsidP="00DC5BCF">
      <w:pPr>
        <w:rPr>
          <w:b/>
        </w:rPr>
      </w:pPr>
      <w:r>
        <w:rPr>
          <w:b/>
        </w:rPr>
        <w:t>Educational Methodology:</w:t>
      </w:r>
      <w:r w:rsidR="000034F4">
        <w:rPr>
          <w:b/>
        </w:rPr>
        <w:t xml:space="preserve"> </w:t>
      </w:r>
    </w:p>
    <w:p w:rsidR="000034F4" w:rsidRDefault="000034F4" w:rsidP="00DC5BCF">
      <w:pPr>
        <w:rPr>
          <w:b/>
        </w:rPr>
      </w:pPr>
    </w:p>
    <w:p w:rsidR="000034F4" w:rsidRPr="000034F4" w:rsidRDefault="00DC5BCF" w:rsidP="00DC5BCF">
      <w:pPr>
        <w:rPr>
          <w:b/>
        </w:rPr>
      </w:pPr>
      <w:r>
        <w:t xml:space="preserve">This course principally is conducted through lectures and short case problems.  </w:t>
      </w:r>
    </w:p>
    <w:p w:rsidR="000034F4" w:rsidRDefault="000034F4" w:rsidP="00DC5BCF"/>
    <w:p w:rsidR="00DC5BCF" w:rsidRDefault="00DC5BCF" w:rsidP="00DC5BCF">
      <w:pPr>
        <w:rPr>
          <w:b/>
        </w:rPr>
      </w:pPr>
      <w:r>
        <w:rPr>
          <w:b/>
        </w:rPr>
        <w:t>Grading:</w:t>
      </w:r>
    </w:p>
    <w:p w:rsidR="00010535" w:rsidRPr="000034F4" w:rsidRDefault="00010535" w:rsidP="00DC5BCF"/>
    <w:p w:rsidR="00DC5BCF" w:rsidRDefault="00DC5BCF" w:rsidP="00DC5BCF">
      <w:r>
        <w:t>Your grade will be based on the following:</w:t>
      </w:r>
    </w:p>
    <w:p w:rsidR="00DC5BCF" w:rsidRDefault="00DC5BCF" w:rsidP="00DC5BCF">
      <w:r>
        <w:tab/>
      </w:r>
      <w:r>
        <w:tab/>
      </w:r>
      <w:r>
        <w:tab/>
      </w:r>
      <w:r>
        <w:tab/>
      </w:r>
      <w:r>
        <w:tab/>
        <w:t xml:space="preserve">                             </w:t>
      </w:r>
      <w:r>
        <w:tab/>
      </w:r>
      <w:r>
        <w:tab/>
        <w:t xml:space="preserve">     </w:t>
      </w:r>
    </w:p>
    <w:p w:rsidR="00DC5BCF" w:rsidRDefault="001478C4" w:rsidP="00DC5BCF">
      <w:r>
        <w:t>Midterm Exam</w:t>
      </w:r>
      <w:r w:rsidR="00B45685">
        <w:t xml:space="preserve"> (20 questions)</w:t>
      </w:r>
      <w:r w:rsidR="00B45685">
        <w:tab/>
      </w:r>
      <w:r w:rsidR="00B45685">
        <w:tab/>
      </w:r>
      <w:r w:rsidR="00B45685">
        <w:tab/>
        <w:t xml:space="preserve">              </w:t>
      </w:r>
      <w:r w:rsidR="00715D54">
        <w:t>8</w:t>
      </w:r>
      <w:r>
        <w:t>0</w:t>
      </w:r>
      <w:r w:rsidR="00DC5BCF">
        <w:t xml:space="preserve"> points</w:t>
      </w:r>
    </w:p>
    <w:p w:rsidR="00DC5BCF" w:rsidRDefault="00DC5BCF" w:rsidP="00DC5BCF">
      <w:pPr>
        <w:rPr>
          <w:u w:val="single"/>
        </w:rPr>
      </w:pPr>
      <w:r>
        <w:t>Final Exam</w:t>
      </w:r>
      <w:r w:rsidR="00E678D2">
        <w:t xml:space="preserve"> (24 questions</w:t>
      </w:r>
      <w:r w:rsidR="00B45685">
        <w:t>)</w:t>
      </w:r>
      <w:r w:rsidR="00B45685">
        <w:tab/>
      </w:r>
      <w:r w:rsidR="00B45685">
        <w:tab/>
      </w:r>
      <w:r w:rsidR="00B45685">
        <w:tab/>
      </w:r>
      <w:r w:rsidR="00B45685">
        <w:tab/>
      </w:r>
      <w:r w:rsidR="00B45685">
        <w:tab/>
      </w:r>
      <w:r w:rsidR="001478C4">
        <w:rPr>
          <w:u w:val="single"/>
        </w:rPr>
        <w:t>120</w:t>
      </w:r>
      <w:r>
        <w:rPr>
          <w:u w:val="single"/>
        </w:rPr>
        <w:t xml:space="preserve"> points</w:t>
      </w:r>
    </w:p>
    <w:p w:rsidR="00DC5BCF" w:rsidRDefault="00DC5BCF" w:rsidP="00DC5BCF">
      <w:r>
        <w:t xml:space="preserve">Total                                                                   </w:t>
      </w:r>
      <w:r>
        <w:tab/>
        <w:t xml:space="preserve">            200 points</w:t>
      </w:r>
    </w:p>
    <w:p w:rsidR="00DC5BCF" w:rsidRDefault="00DC5BCF" w:rsidP="00DC5BCF"/>
    <w:p w:rsidR="00DC5BCF" w:rsidRDefault="00DC5BCF" w:rsidP="00DC5BCF">
      <w:r>
        <w:t xml:space="preserve">In addition, noteworthy class participation may raise your grade by one step. For example, strong class participation would raise a B to a B+ or a C+ to a B-. </w:t>
      </w:r>
    </w:p>
    <w:p w:rsidR="00947AF2" w:rsidRDefault="00947AF2" w:rsidP="00DC5BCF"/>
    <w:p w:rsidR="00F07B8E" w:rsidRDefault="00F07B8E" w:rsidP="00F07B8E">
      <w:r>
        <w:t>Exams are designed to test your ability to apply course material, and will require you to truly understand the principles discussed. Exams do not merely</w:t>
      </w:r>
      <w:r w:rsidR="00B45685">
        <w:t xml:space="preserve"> ask you to memorize </w:t>
      </w:r>
      <w:r>
        <w:t>definitions or basic ideas mentioned in class, but rather, re</w:t>
      </w:r>
      <w:r w:rsidR="00B45685">
        <w:t xml:space="preserve">ward you for true comprehension. </w:t>
      </w:r>
      <w:r>
        <w:t xml:space="preserve">Sample </w:t>
      </w:r>
      <w:r w:rsidR="00B45685">
        <w:t xml:space="preserve">midterm </w:t>
      </w:r>
      <w:r>
        <w:t xml:space="preserve">questions appear in the course packet, roughly at the midpoint of the course packet. </w:t>
      </w:r>
    </w:p>
    <w:p w:rsidR="00F07B8E" w:rsidRDefault="00F07B8E" w:rsidP="00F07B8E"/>
    <w:p w:rsidR="003431AD" w:rsidRDefault="00DC5BCF" w:rsidP="00DC5BCF">
      <w:r>
        <w:t>Exams will be closed-book and will be comprised of variou</w:t>
      </w:r>
      <w:r w:rsidR="003431AD">
        <w:t xml:space="preserve">s short questions and problems. You should bring a calculator to the exam, along with several pencils. All paper and solutions sheets will be provided. </w:t>
      </w:r>
    </w:p>
    <w:p w:rsidR="003431AD" w:rsidRDefault="003431AD" w:rsidP="00DC5BCF"/>
    <w:p w:rsidR="00E678D2" w:rsidRDefault="00DC5BCF" w:rsidP="00DC5BCF">
      <w:r>
        <w:t>Partial credit will be allowed for items that materially demonstrate comprehension of the material. It will not be allowed, however, for solution elements that demonstrate trivial mastery of the question posed or could have been avoided by carefully verifying the problem facts o</w:t>
      </w:r>
      <w:r w:rsidR="000034F4">
        <w:t xml:space="preserve">r the calculations in </w:t>
      </w:r>
      <w:r>
        <w:t xml:space="preserve">your solution. </w:t>
      </w:r>
      <w:r w:rsidR="00043624">
        <w:t>The in</w:t>
      </w:r>
      <w:r w:rsidR="000034F4">
        <w:t>structor’s grading key and policies are</w:t>
      </w:r>
      <w:r w:rsidR="00043624">
        <w:t xml:space="preserve"> conclusive. </w:t>
      </w:r>
      <w:r>
        <w:t>Failure to follow exam instructions or to turn your exam in promptly when so instructed will result in No Credit. The final exam primarily wil</w:t>
      </w:r>
      <w:r w:rsidR="000034F4">
        <w:t xml:space="preserve">l focus on the material in </w:t>
      </w:r>
      <w:r w:rsidR="00886ACE">
        <w:t xml:space="preserve">the latter half of the class. </w:t>
      </w:r>
      <w:r>
        <w:t>Make-up exams will not be given under any circumstanc</w:t>
      </w:r>
      <w:r w:rsidR="00F07B8E">
        <w:t>e. Course grades will be curved, using the grade distribution mandated by the Account</w:t>
      </w:r>
      <w:r w:rsidR="00DD350D">
        <w:t xml:space="preserve">ing Area of the </w:t>
      </w:r>
      <w:smartTag w:uri="urn:schemas-microsoft-com:office:smarttags" w:element="place">
        <w:smartTag w:uri="urn:schemas-microsoft-com:office:smarttags" w:element="PlaceName">
          <w:r w:rsidR="00DD350D">
            <w:t>Anderson</w:t>
          </w:r>
        </w:smartTag>
        <w:r w:rsidR="00DD350D">
          <w:t xml:space="preserve"> </w:t>
        </w:r>
        <w:smartTag w:uri="urn:schemas-microsoft-com:office:smarttags" w:element="PlaceType">
          <w:r w:rsidR="00DD350D">
            <w:t>School</w:t>
          </w:r>
        </w:smartTag>
      </w:smartTag>
      <w:r w:rsidR="00DD350D">
        <w:t>.</w:t>
      </w:r>
    </w:p>
    <w:p w:rsidR="00016FF2" w:rsidRDefault="00016FF2" w:rsidP="00DC5BCF"/>
    <w:p w:rsidR="00016FF2" w:rsidRDefault="00016FF2" w:rsidP="00DC5BCF"/>
    <w:p w:rsidR="00DC5BCF" w:rsidRDefault="00DC5BCF" w:rsidP="00DC5BCF">
      <w:pPr>
        <w:rPr>
          <w:b/>
          <w:bCs/>
        </w:rPr>
      </w:pPr>
      <w:r>
        <w:rPr>
          <w:b/>
          <w:bCs/>
        </w:rPr>
        <w:t xml:space="preserve">Exam Preparation: </w:t>
      </w:r>
    </w:p>
    <w:p w:rsidR="00DC5BCF" w:rsidRDefault="00DC5BCF" w:rsidP="00DC5BCF">
      <w:pPr>
        <w:rPr>
          <w:b/>
          <w:bCs/>
        </w:rPr>
      </w:pPr>
    </w:p>
    <w:p w:rsidR="00DC5BCF" w:rsidRDefault="00DC5BCF" w:rsidP="00DC5BCF">
      <w:r>
        <w:t>Most stu</w:t>
      </w:r>
      <w:r w:rsidR="00F07B8E">
        <w:t>dents should study, in order of priority, as follows</w:t>
      </w:r>
      <w:r>
        <w:t>:</w:t>
      </w:r>
    </w:p>
    <w:p w:rsidR="00DC5BCF" w:rsidRDefault="00DC5BCF" w:rsidP="00DC5BCF"/>
    <w:p w:rsidR="00DC5BCF" w:rsidRDefault="00E678D2" w:rsidP="00DC5BCF">
      <w:pPr>
        <w:widowControl/>
        <w:numPr>
          <w:ilvl w:val="0"/>
          <w:numId w:val="2"/>
        </w:numPr>
      </w:pPr>
      <w:r>
        <w:t>Review</w:t>
      </w:r>
      <w:r w:rsidR="00DC5BCF">
        <w:t xml:space="preserve"> class lecture notes and the course packet</w:t>
      </w:r>
    </w:p>
    <w:p w:rsidR="00DC5BCF" w:rsidRDefault="00E678D2" w:rsidP="00DC5BCF">
      <w:pPr>
        <w:widowControl/>
        <w:numPr>
          <w:ilvl w:val="0"/>
          <w:numId w:val="2"/>
        </w:numPr>
      </w:pPr>
      <w:r>
        <w:t xml:space="preserve">Solve </w:t>
      </w:r>
      <w:r w:rsidR="00DC5BCF">
        <w:t>assigned homework problems and cases</w:t>
      </w:r>
    </w:p>
    <w:p w:rsidR="00DC5BCF" w:rsidRDefault="00E678D2" w:rsidP="00DC5BCF">
      <w:pPr>
        <w:widowControl/>
        <w:numPr>
          <w:ilvl w:val="0"/>
          <w:numId w:val="2"/>
        </w:numPr>
      </w:pPr>
      <w:r>
        <w:t>Read</w:t>
      </w:r>
      <w:r w:rsidR="00DC5BCF">
        <w:t xml:space="preserve"> the textbook</w:t>
      </w:r>
    </w:p>
    <w:p w:rsidR="00DC5BCF" w:rsidRDefault="00DC5BCF" w:rsidP="00DC5BCF">
      <w:pPr>
        <w:ind w:left="360"/>
      </w:pPr>
      <w:r>
        <w:t xml:space="preserve"> </w:t>
      </w:r>
    </w:p>
    <w:p w:rsidR="00715D54" w:rsidRDefault="00BD151C" w:rsidP="00715D54">
      <w:r>
        <w:t xml:space="preserve">Makeup </w:t>
      </w:r>
      <w:r w:rsidR="00715D54">
        <w:t xml:space="preserve">exams will not be given under any circumstance. Course grades will be curved, using the grade distribution mandated by the Accounting Area of the </w:t>
      </w:r>
      <w:smartTag w:uri="urn:schemas-microsoft-com:office:smarttags" w:element="place">
        <w:smartTag w:uri="urn:schemas-microsoft-com:office:smarttags" w:element="PlaceName">
          <w:r w:rsidR="00715D54">
            <w:t>Anderson</w:t>
          </w:r>
        </w:smartTag>
        <w:r w:rsidR="00715D54">
          <w:t xml:space="preserve"> </w:t>
        </w:r>
        <w:smartTag w:uri="urn:schemas-microsoft-com:office:smarttags" w:element="PlaceType">
          <w:r w:rsidR="00715D54">
            <w:t>School</w:t>
          </w:r>
        </w:smartTag>
      </w:smartTag>
      <w:r w:rsidR="00715D54">
        <w:t>.</w:t>
      </w:r>
    </w:p>
    <w:p w:rsidR="00715D54" w:rsidRDefault="00715D54" w:rsidP="00715D54"/>
    <w:p w:rsidR="00715D54" w:rsidRDefault="00715D54" w:rsidP="00715D54">
      <w:pPr>
        <w:rPr>
          <w:b/>
          <w:bCs/>
        </w:rPr>
      </w:pPr>
      <w:r>
        <w:rPr>
          <w:b/>
          <w:bCs/>
        </w:rPr>
        <w:t xml:space="preserve">Exam Preparation: </w:t>
      </w:r>
    </w:p>
    <w:p w:rsidR="00715D54" w:rsidRDefault="00715D54" w:rsidP="00715D54">
      <w:pPr>
        <w:rPr>
          <w:b/>
          <w:bCs/>
        </w:rPr>
      </w:pPr>
    </w:p>
    <w:p w:rsidR="00715D54" w:rsidRDefault="00715D54" w:rsidP="00715D54">
      <w:r>
        <w:t>Most students should study, in order of priority, as follows:</w:t>
      </w:r>
    </w:p>
    <w:p w:rsidR="00715D54" w:rsidRDefault="00715D54" w:rsidP="00715D54"/>
    <w:p w:rsidR="00715D54" w:rsidRDefault="00715D54" w:rsidP="00715D54">
      <w:pPr>
        <w:widowControl/>
        <w:numPr>
          <w:ilvl w:val="0"/>
          <w:numId w:val="2"/>
        </w:numPr>
      </w:pPr>
      <w:r>
        <w:lastRenderedPageBreak/>
        <w:t>Reviewing class lecture notes and the course packet</w:t>
      </w:r>
    </w:p>
    <w:p w:rsidR="00715D54" w:rsidRDefault="00715D54" w:rsidP="00715D54">
      <w:pPr>
        <w:widowControl/>
        <w:numPr>
          <w:ilvl w:val="0"/>
          <w:numId w:val="2"/>
        </w:numPr>
      </w:pPr>
      <w:r>
        <w:t>Solving assigned homework problems and cases</w:t>
      </w:r>
    </w:p>
    <w:p w:rsidR="00715D54" w:rsidRDefault="00715D54" w:rsidP="00715D54">
      <w:pPr>
        <w:widowControl/>
        <w:numPr>
          <w:ilvl w:val="0"/>
          <w:numId w:val="2"/>
        </w:numPr>
      </w:pPr>
      <w:smartTag w:uri="urn:schemas-microsoft-com:office:smarttags" w:element="place">
        <w:smartTag w:uri="urn:schemas-microsoft-com:office:smarttags" w:element="City">
          <w:r>
            <w:t>Reading</w:t>
          </w:r>
        </w:smartTag>
      </w:smartTag>
      <w:r>
        <w:t xml:space="preserve"> the textbook</w:t>
      </w:r>
    </w:p>
    <w:p w:rsidR="00715D54" w:rsidRDefault="00715D54" w:rsidP="00715D54">
      <w:pPr>
        <w:ind w:left="360"/>
      </w:pPr>
      <w:r>
        <w:t xml:space="preserve"> </w:t>
      </w:r>
    </w:p>
    <w:p w:rsidR="00715D54" w:rsidRDefault="00715D54" w:rsidP="00715D54">
      <w:pPr>
        <w:rPr>
          <w:b/>
          <w:bCs/>
        </w:rPr>
      </w:pPr>
      <w:r>
        <w:rPr>
          <w:b/>
          <w:bCs/>
        </w:rPr>
        <w:t xml:space="preserve">YOU ARE ONLY RESPONSIBLE FOR THE CONCEPTS AND RELATED DETAILS COVERED IN CLASS. THEREFORE, IF A CONCEPT, RULE, OR TERM IS NOT MENTIONED IN CLASS, IT WILL NOT BE TESTED ON EXAMS. </w:t>
      </w:r>
    </w:p>
    <w:p w:rsidR="00715D54" w:rsidRDefault="00715D54" w:rsidP="00715D54">
      <w:pPr>
        <w:rPr>
          <w:b/>
          <w:bCs/>
        </w:rPr>
      </w:pPr>
    </w:p>
    <w:p w:rsidR="00715D54" w:rsidRPr="003D7A72" w:rsidRDefault="00715D54" w:rsidP="00715D54">
      <w:pPr>
        <w:rPr>
          <w:bCs/>
        </w:rPr>
      </w:pPr>
      <w:r>
        <w:rPr>
          <w:bCs/>
        </w:rPr>
        <w:t xml:space="preserve">Textbook problems occasionally introduce a minor topic that was not covered in class. Further, the course reader occasionally mentions a minor topic that I choose not to cover in class. To repeat, these items will </w:t>
      </w:r>
      <w:r w:rsidRPr="003D7A72">
        <w:rPr>
          <w:bCs/>
          <w:i/>
        </w:rPr>
        <w:t>not</w:t>
      </w:r>
      <w:r>
        <w:rPr>
          <w:bCs/>
        </w:rPr>
        <w:t xml:space="preserve"> be tested. (Although my statement in bold capitals above is emphatically clear, a few students nonetheless waste a tremendous amount of time repeatedly asking if they “need to know” a certain concept. If somehow you find the above statement unclear, spend your time just learning the concept.)</w:t>
      </w:r>
    </w:p>
    <w:p w:rsidR="00715D54" w:rsidRDefault="00715D54" w:rsidP="00715D54">
      <w:pPr>
        <w:rPr>
          <w:b/>
          <w:bCs/>
        </w:rPr>
      </w:pPr>
    </w:p>
    <w:p w:rsidR="00715D54" w:rsidRDefault="00715D54" w:rsidP="00715D54">
      <w:r>
        <w:t xml:space="preserve">To be fair to all students, my Teaching Assistants and I will </w:t>
      </w:r>
      <w:r w:rsidRPr="0090172D">
        <w:rPr>
          <w:b/>
        </w:rPr>
        <w:t>not</w:t>
      </w:r>
      <w:r>
        <w:t xml:space="preserve"> discuss exam content or exam preparation strategies individually. Time will be allotted during class before exams for all such questions.</w:t>
      </w:r>
    </w:p>
    <w:p w:rsidR="00715D54" w:rsidRDefault="00715D54" w:rsidP="00715D54"/>
    <w:p w:rsidR="00715D54" w:rsidRDefault="00715D54" w:rsidP="00715D54">
      <w:pPr>
        <w:rPr>
          <w:b/>
        </w:rPr>
      </w:pPr>
      <w:r>
        <w:rPr>
          <w:b/>
        </w:rPr>
        <w:t>Class Participation:</w:t>
      </w:r>
    </w:p>
    <w:p w:rsidR="00715D54" w:rsidRDefault="00715D54" w:rsidP="00715D54">
      <w:pPr>
        <w:rPr>
          <w:b/>
        </w:rPr>
      </w:pPr>
    </w:p>
    <w:p w:rsidR="00715D54" w:rsidRDefault="00715D54" w:rsidP="00715D54">
      <w:r>
        <w:t>Class participation points will be added to your exam grades for meaningful contributions to class discussions that demonstrate a solid understanding of the cases and topics being discussed.</w:t>
      </w:r>
    </w:p>
    <w:p w:rsidR="00715D54" w:rsidRDefault="00715D54" w:rsidP="00715D54"/>
    <w:p w:rsidR="00715D54" w:rsidRDefault="00715D54" w:rsidP="00715D54">
      <w:r>
        <w:t>Class participation points will be deducted for students who disrupt the learning environment or demonstrate that they do not follow the rules stated in the syllabus. Specifically:</w:t>
      </w:r>
    </w:p>
    <w:p w:rsidR="00715D54" w:rsidRDefault="00715D54" w:rsidP="00715D54">
      <w:pPr>
        <w:ind w:left="720"/>
      </w:pPr>
    </w:p>
    <w:p w:rsidR="00715D54" w:rsidRDefault="00715D54" w:rsidP="00715D54">
      <w:pPr>
        <w:numPr>
          <w:ilvl w:val="0"/>
          <w:numId w:val="8"/>
        </w:numPr>
      </w:pPr>
      <w:r>
        <w:t>If you must walk into class late, do so unobtrusively, while minimizing disruptions to others in class.</w:t>
      </w:r>
    </w:p>
    <w:p w:rsidR="00715D54" w:rsidRDefault="00715D54" w:rsidP="00715D54">
      <w:pPr>
        <w:numPr>
          <w:ilvl w:val="0"/>
          <w:numId w:val="8"/>
        </w:numPr>
      </w:pPr>
      <w:r>
        <w:t xml:space="preserve">Do not waste the instructor’s time regarding information that you should have and would have known if you had (1) attended class; (2) read the syllabus; or (3) read instructor emails. It is no excuse that you “don’t know anyone” in the class, hold a part-time job, or missed class. Introduce yourself to someone early in the class and make arrangements with them in case you one day have to miss class due to illness, job interviews, traffic, or other reasons. </w:t>
      </w:r>
    </w:p>
    <w:p w:rsidR="00715D54" w:rsidRDefault="00715D54" w:rsidP="00715D54">
      <w:pPr>
        <w:numPr>
          <w:ilvl w:val="0"/>
          <w:numId w:val="8"/>
        </w:numPr>
      </w:pPr>
      <w:r>
        <w:t xml:space="preserve">Do not ask about exam content or what you “need to know” for the exam. </w:t>
      </w:r>
    </w:p>
    <w:p w:rsidR="00715D54" w:rsidRDefault="00715D54" w:rsidP="00715D54"/>
    <w:p w:rsidR="00715D54" w:rsidRDefault="00715D54" w:rsidP="00715D54">
      <w:pPr>
        <w:rPr>
          <w:b/>
        </w:rPr>
      </w:pPr>
      <w:r>
        <w:rPr>
          <w:b/>
        </w:rPr>
        <w:t>Receiving and Reviewing Exams</w:t>
      </w:r>
    </w:p>
    <w:p w:rsidR="00715D54" w:rsidRDefault="00715D54" w:rsidP="00715D54">
      <w:pPr>
        <w:rPr>
          <w:b/>
        </w:rPr>
      </w:pPr>
    </w:p>
    <w:p w:rsidR="00BD151C" w:rsidRDefault="00BD151C" w:rsidP="00BD151C">
      <w:r>
        <w:t xml:space="preserve">Your midterm answer sheet normally will be returned at the end of the class session that follows the exam date. If you do not attend that class session, your exam will be available for pickup, starting the following day, at my Teaching Assistants’ office hours. Exams may be picked up there for a period of one week following the date on which exams were returned in class. </w:t>
      </w:r>
    </w:p>
    <w:p w:rsidR="00715D54" w:rsidRDefault="00715D54" w:rsidP="00715D54"/>
    <w:p w:rsidR="00715D54" w:rsidRDefault="00715D54" w:rsidP="00715D54">
      <w:r>
        <w:t>Midterm answers and solution explanations may be reviewed at times and places announced in class when exams are returned.</w:t>
      </w:r>
    </w:p>
    <w:p w:rsidR="00715D54" w:rsidRDefault="00715D54" w:rsidP="00715D54"/>
    <w:p w:rsidR="00715D54" w:rsidRPr="001F0798" w:rsidRDefault="00715D54" w:rsidP="00715D54">
      <w:r>
        <w:t>Your final exam answer sheet may be revie</w:t>
      </w:r>
      <w:r w:rsidR="00BD151C">
        <w:t xml:space="preserve">wed during </w:t>
      </w:r>
      <w:r>
        <w:t xml:space="preserve">the following quarter, starting during Week 2. The exact times and places for review will be posted on my office door at D521, Anderson School, as of the start of Week 2 of the quarter following the quarter during which you were enrolled. </w:t>
      </w:r>
    </w:p>
    <w:p w:rsidR="00715D54" w:rsidRPr="00886ACE" w:rsidRDefault="00715D54" w:rsidP="00715D54"/>
    <w:p w:rsidR="00715D54" w:rsidRDefault="00715D54" w:rsidP="00715D54"/>
    <w:p w:rsidR="00715D54" w:rsidRDefault="00715D54" w:rsidP="00715D54">
      <w:pPr>
        <w:rPr>
          <w:b/>
          <w:bCs/>
        </w:rPr>
      </w:pPr>
      <w:r>
        <w:rPr>
          <w:b/>
          <w:bCs/>
        </w:rPr>
        <w:t xml:space="preserve">Getting Questions Answered: </w:t>
      </w:r>
    </w:p>
    <w:p w:rsidR="00715D54" w:rsidRDefault="00715D54" w:rsidP="00715D54">
      <w:pPr>
        <w:rPr>
          <w:b/>
          <w:bCs/>
        </w:rPr>
      </w:pPr>
    </w:p>
    <w:p w:rsidR="00715D54" w:rsidRDefault="00715D54" w:rsidP="00715D54">
      <w:pPr>
        <w:rPr>
          <w:bCs/>
        </w:rPr>
      </w:pPr>
      <w:r>
        <w:rPr>
          <w:bCs/>
        </w:rPr>
        <w:t xml:space="preserve">The answer manual for all assigned problems is posted on the course website. </w:t>
      </w:r>
    </w:p>
    <w:p w:rsidR="00715D54" w:rsidRDefault="00715D54" w:rsidP="00715D54">
      <w:pPr>
        <w:rPr>
          <w:bCs/>
        </w:rPr>
      </w:pPr>
    </w:p>
    <w:p w:rsidR="00715D54" w:rsidRPr="00E44656" w:rsidRDefault="00715D54" w:rsidP="00715D54">
      <w:pPr>
        <w:rPr>
          <w:bCs/>
        </w:rPr>
      </w:pPr>
      <w:r>
        <w:rPr>
          <w:bCs/>
        </w:rPr>
        <w:t xml:space="preserve">I have several superb Teaching Assistants, all of whom received top grades in my classes and have excellent communication skills. Questions concerning the textbook, reader, problems, and class discussions should initially be directed to them. </w:t>
      </w:r>
    </w:p>
    <w:p w:rsidR="00715D54" w:rsidRDefault="00715D54" w:rsidP="00715D54">
      <w:pPr>
        <w:rPr>
          <w:b/>
          <w:bCs/>
        </w:rPr>
      </w:pPr>
    </w:p>
    <w:p w:rsidR="00715D54" w:rsidRDefault="00715D54" w:rsidP="00715D54">
      <w:r>
        <w:t>Email is a useful communication tool. However, a few individuals view email as an around-the-clock substitute for attending class or interacting with classmates. Due to the huge volume of emails I receive, please adhere to the following guidelines before sending me an email:</w:t>
      </w:r>
    </w:p>
    <w:p w:rsidR="00715D54" w:rsidRDefault="00715D54" w:rsidP="00715D54"/>
    <w:p w:rsidR="00715D54" w:rsidRDefault="00715D54" w:rsidP="00715D54">
      <w:pPr>
        <w:widowControl/>
        <w:numPr>
          <w:ilvl w:val="0"/>
          <w:numId w:val="1"/>
        </w:numPr>
      </w:pPr>
      <w:r>
        <w:t>Does your email concern administrative issues, such as picking up materials from when you missed class? Please direct your question to a fellow classmate.</w:t>
      </w:r>
    </w:p>
    <w:p w:rsidR="00715D54" w:rsidRDefault="00715D54" w:rsidP="00715D54">
      <w:pPr>
        <w:widowControl/>
        <w:numPr>
          <w:ilvl w:val="0"/>
          <w:numId w:val="1"/>
        </w:numPr>
      </w:pPr>
      <w:r>
        <w:t>Is your email truly so urgent that you sincerely need to interrupt my weekend or my professional time off campus? If so, please contact me. However, if it is not urgent, please save your inquiry for my Teaching Assistants or our next class session. I am happy to chat before and after class.</w:t>
      </w:r>
    </w:p>
    <w:p w:rsidR="00715D54" w:rsidRDefault="00715D54" w:rsidP="00715D54">
      <w:pPr>
        <w:widowControl/>
        <w:numPr>
          <w:ilvl w:val="0"/>
          <w:numId w:val="1"/>
        </w:numPr>
      </w:pPr>
      <w:r>
        <w:t xml:space="preserve">If your email concerns grading records or the textbook, please assume that I do not have these documents with me since I usually answer emails from home. </w:t>
      </w:r>
    </w:p>
    <w:p w:rsidR="00715D54" w:rsidRDefault="00715D54" w:rsidP="00715D54">
      <w:pPr>
        <w:widowControl/>
        <w:numPr>
          <w:ilvl w:val="0"/>
          <w:numId w:val="1"/>
        </w:numPr>
      </w:pPr>
      <w:r>
        <w:t>Please state discrete questions that call for succinct “yes” or “no” answers. I am a slow typist on my Blackberry, so questions that call for long answers simply won’t get answered.</w:t>
      </w:r>
    </w:p>
    <w:p w:rsidR="00715D54" w:rsidRDefault="00715D54" w:rsidP="00715D54">
      <w:pPr>
        <w:widowControl/>
        <w:numPr>
          <w:ilvl w:val="0"/>
          <w:numId w:val="1"/>
        </w:numPr>
      </w:pPr>
      <w:r>
        <w:t xml:space="preserve">I am happy to discuss your grades in person. Privacy laws prevent me from using email. </w:t>
      </w:r>
    </w:p>
    <w:p w:rsidR="00715D54" w:rsidRDefault="00715D54" w:rsidP="00715D54">
      <w:pPr>
        <w:widowControl/>
        <w:ind w:left="720"/>
      </w:pPr>
      <w:r>
        <w:t xml:space="preserve">. </w:t>
      </w:r>
    </w:p>
    <w:p w:rsidR="00715D54" w:rsidRDefault="00715D54" w:rsidP="00715D54">
      <w:pPr>
        <w:widowControl/>
      </w:pPr>
    </w:p>
    <w:p w:rsidR="00715D54" w:rsidRDefault="00715D54" w:rsidP="00715D54">
      <w:pPr>
        <w:widowControl/>
      </w:pPr>
      <w:r>
        <w:t xml:space="preserve">If your email meets the above criteria, type </w:t>
      </w:r>
      <w:r w:rsidRPr="00E75AF7">
        <w:rPr>
          <w:u w:val="single"/>
        </w:rPr>
        <w:t>“UCLA” and the course number</w:t>
      </w:r>
      <w:r>
        <w:t xml:space="preserve"> in the subject heading of your email. Otherwise, it may end up in my “junk” mail folder and go unread.</w:t>
      </w:r>
    </w:p>
    <w:p w:rsidR="00E900F5" w:rsidRDefault="00E900F5" w:rsidP="00DC5BCF"/>
    <w:p w:rsidR="00010535" w:rsidRDefault="00010535" w:rsidP="00010535">
      <w:pPr>
        <w:rPr>
          <w:b/>
        </w:rPr>
      </w:pPr>
      <w:r>
        <w:rPr>
          <w:b/>
        </w:rPr>
        <w:t>Class Attendance and Homework:</w:t>
      </w:r>
    </w:p>
    <w:p w:rsidR="00010535" w:rsidRDefault="00010535" w:rsidP="00010535">
      <w:pPr>
        <w:rPr>
          <w:b/>
        </w:rPr>
      </w:pPr>
    </w:p>
    <w:p w:rsidR="00010535" w:rsidRPr="000034F4" w:rsidRDefault="00010535" w:rsidP="00010535">
      <w:r>
        <w:t>I do not take attendance or collect homework. However, the Accounting Minor is a professional program and you are responsible for attending class. Also, exams emphasize classroom discussions. If you miss class, please do</w:t>
      </w:r>
      <w:r w:rsidRPr="00016FF2">
        <w:rPr>
          <w:u w:val="single"/>
        </w:rPr>
        <w:t xml:space="preserve"> not</w:t>
      </w:r>
      <w:r>
        <w:t xml:space="preserve"> ask me to repeat class information for you. </w:t>
      </w:r>
    </w:p>
    <w:p w:rsidR="00010535" w:rsidRDefault="00010535" w:rsidP="00010535">
      <w:pPr>
        <w:ind w:left="720"/>
      </w:pPr>
    </w:p>
    <w:p w:rsidR="00010535" w:rsidRDefault="00010535" w:rsidP="00010535">
      <w:pPr>
        <w:rPr>
          <w:b/>
        </w:rPr>
      </w:pPr>
      <w:r>
        <w:rPr>
          <w:b/>
        </w:rPr>
        <w:t>Impacted Course:</w:t>
      </w:r>
    </w:p>
    <w:p w:rsidR="00010535" w:rsidRDefault="00010535" w:rsidP="00010535">
      <w:pPr>
        <w:rPr>
          <w:b/>
        </w:rPr>
      </w:pPr>
    </w:p>
    <w:p w:rsidR="008B2CCC" w:rsidRDefault="00010535" w:rsidP="00BD151C">
      <w:r>
        <w:t xml:space="preserve">This course is an impacted course. As a result, you cannot drop this course after the first two weeks unless the university grants you a rare, special exception. </w:t>
      </w:r>
      <w:r w:rsidR="00BD151C">
        <w:t>Please consult university rules.</w:t>
      </w:r>
    </w:p>
    <w:p w:rsidR="008B2CCC" w:rsidRPr="008B2CCC" w:rsidRDefault="008B2CCC" w:rsidP="008B2CCC">
      <w:pPr>
        <w:widowControl/>
      </w:pPr>
    </w:p>
    <w:p w:rsidR="00DC5BCF" w:rsidRDefault="00DC5BCF" w:rsidP="00DC5BCF">
      <w:pPr>
        <w:rPr>
          <w:b/>
        </w:rPr>
      </w:pPr>
      <w:r>
        <w:rPr>
          <w:b/>
        </w:rPr>
        <w:t>The Instructor:</w:t>
      </w:r>
    </w:p>
    <w:p w:rsidR="00886ACE" w:rsidRDefault="00886ACE" w:rsidP="00DC5BCF">
      <w:pPr>
        <w:rPr>
          <w:b/>
        </w:rPr>
      </w:pPr>
    </w:p>
    <w:p w:rsidR="00DC5BCF" w:rsidRDefault="00DC5BCF" w:rsidP="00DC5BCF">
      <w:r>
        <w:t>Gordon Klein is a CPA</w:t>
      </w:r>
      <w:r w:rsidR="00AC69CD">
        <w:t xml:space="preserve"> (</w:t>
      </w:r>
      <w:smartTag w:uri="urn:schemas-microsoft-com:office:smarttags" w:element="State">
        <w:smartTag w:uri="urn:schemas-microsoft-com:office:smarttags" w:element="place">
          <w:r w:rsidR="00AC69CD">
            <w:t>Illinois</w:t>
          </w:r>
        </w:smartTag>
      </w:smartTag>
      <w:r w:rsidR="00AC69CD">
        <w:t>)</w:t>
      </w:r>
      <w:r>
        <w:t xml:space="preserve">, attorney, and expert witness on a diverse set of accounting issues, ranging from the Hoover Dam’s hydropower profits to financial aspects of the pornography industry. He has served as the General Counsel, Director, or advisor to numerous emerging and established businesses. </w:t>
      </w:r>
    </w:p>
    <w:p w:rsidR="00DC5BCF" w:rsidRDefault="00DC5BCF" w:rsidP="00DC5BCF"/>
    <w:p w:rsidR="00E678D2" w:rsidRPr="00815D5D" w:rsidRDefault="00DC5BCF" w:rsidP="00E678D2">
      <w:pPr>
        <w:rPr>
          <w:szCs w:val="24"/>
        </w:rPr>
      </w:pPr>
      <w:r>
        <w:lastRenderedPageBreak/>
        <w:t xml:space="preserve">Mr. Klein has taught accounting, tax planning, financial analysis, commercial law, and entrepreneurship at both the </w:t>
      </w:r>
      <w:smartTag w:uri="urn:schemas-microsoft-com:office:smarttags" w:element="PlaceName">
        <w:r>
          <w:t>UCLA</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and the </w:t>
      </w:r>
      <w:smartTag w:uri="urn:schemas-microsoft-com:office:smarttags" w:element="place">
        <w:smartTag w:uri="urn:schemas-microsoft-com:office:smarttags" w:element="PlaceName">
          <w:r>
            <w:t>Anderson</w:t>
          </w:r>
        </w:smartTag>
        <w:r>
          <w:t xml:space="preserve"> </w:t>
        </w:r>
        <w:smartTag w:uri="urn:schemas-microsoft-com:office:smarttags" w:element="PlaceType">
          <w:r>
            <w:t>School</w:t>
          </w:r>
        </w:smartTag>
      </w:smartTag>
      <w:r>
        <w:t xml:space="preserve">. He appears regularly on CNBC TV, and his commentaries have appeared in the </w:t>
      </w:r>
      <w:r>
        <w:rPr>
          <w:u w:val="single"/>
        </w:rPr>
        <w:t>New York Times</w:t>
      </w:r>
      <w:r>
        <w:t xml:space="preserve">, </w:t>
      </w:r>
      <w:r>
        <w:rPr>
          <w:u w:val="single"/>
        </w:rPr>
        <w:t>Wall Street Journal</w:t>
      </w:r>
      <w:r>
        <w:t xml:space="preserve">, </w:t>
      </w:r>
      <w:r>
        <w:rPr>
          <w:u w:val="single"/>
        </w:rPr>
        <w:t>Business Week</w:t>
      </w:r>
      <w:r>
        <w:t xml:space="preserve">, </w:t>
      </w:r>
      <w:r>
        <w:rPr>
          <w:u w:val="single"/>
        </w:rPr>
        <w:t>Forbes</w:t>
      </w:r>
      <w:r>
        <w:t xml:space="preserve">, </w:t>
      </w:r>
      <w:r>
        <w:rPr>
          <w:u w:val="single"/>
        </w:rPr>
        <w:t>Fortune</w:t>
      </w:r>
      <w:r>
        <w:t xml:space="preserve">, </w:t>
      </w:r>
      <w:r>
        <w:rPr>
          <w:u w:val="single"/>
        </w:rPr>
        <w:t>People</w:t>
      </w:r>
      <w:r>
        <w:t xml:space="preserve">, and </w:t>
      </w:r>
      <w:r>
        <w:rPr>
          <w:u w:val="single"/>
        </w:rPr>
        <w:t>Los Angeles Times</w:t>
      </w:r>
      <w:r>
        <w:t>.</w:t>
      </w:r>
      <w:r w:rsidR="00043624">
        <w:t xml:space="preserve"> </w:t>
      </w:r>
      <w:r>
        <w:t xml:space="preserve">Mr. Klein earned his degrees at the University of Michigan Law School and </w:t>
      </w:r>
      <w:smartTag w:uri="urn:schemas-microsoft-com:office:smarttags" w:element="place">
        <w:smartTag w:uri="urn:schemas-microsoft-com:office:smarttags" w:element="PlaceName">
          <w:r>
            <w:t>Business</w:t>
          </w:r>
        </w:smartTag>
        <w:r>
          <w:t xml:space="preserve"> </w:t>
        </w:r>
        <w:smartTag w:uri="urn:schemas-microsoft-com:office:smarttags" w:element="PlaceType">
          <w:r>
            <w:t>School</w:t>
          </w:r>
        </w:smartTag>
      </w:smartTag>
      <w:r>
        <w:t xml:space="preserve">. </w:t>
      </w:r>
      <w:r w:rsidR="00E678D2" w:rsidRPr="00815D5D">
        <w:rPr>
          <w:szCs w:val="24"/>
        </w:rPr>
        <w:t xml:space="preserve">In addition, he frequently testifies in state and federal court as an expert witness on accounting issues.  </w:t>
      </w:r>
    </w:p>
    <w:p w:rsidR="00DC5BCF" w:rsidRDefault="00DC5BCF" w:rsidP="00DC5BCF"/>
    <w:p w:rsidR="00BE100C" w:rsidRDefault="00BE100C" w:rsidP="00BE100C"/>
    <w:tbl>
      <w:tblPr>
        <w:tblStyle w:val="TableGrid"/>
        <w:tblW w:w="11252" w:type="dxa"/>
        <w:tblLook w:val="04A0"/>
      </w:tblPr>
      <w:tblGrid>
        <w:gridCol w:w="2813"/>
        <w:gridCol w:w="2813"/>
        <w:gridCol w:w="2813"/>
        <w:gridCol w:w="2813"/>
      </w:tblGrid>
      <w:tr w:rsidR="00F02F03" w:rsidTr="00F02F03">
        <w:trPr>
          <w:trHeight w:val="560"/>
        </w:trPr>
        <w:tc>
          <w:tcPr>
            <w:tcW w:w="2813" w:type="dxa"/>
          </w:tcPr>
          <w:p w:rsidR="00F02F03" w:rsidRDefault="00F02F03" w:rsidP="00F02F03">
            <w:pPr>
              <w:jc w:val="center"/>
              <w:rPr>
                <w:b/>
              </w:rPr>
            </w:pPr>
            <w:r w:rsidRPr="00F02F03">
              <w:rPr>
                <w:b/>
              </w:rPr>
              <w:t>Week</w:t>
            </w:r>
          </w:p>
        </w:tc>
        <w:tc>
          <w:tcPr>
            <w:tcW w:w="2813" w:type="dxa"/>
          </w:tcPr>
          <w:p w:rsidR="00F02F03" w:rsidRDefault="00F02F03" w:rsidP="00F02F03">
            <w:pPr>
              <w:jc w:val="center"/>
              <w:rPr>
                <w:b/>
              </w:rPr>
            </w:pPr>
            <w:r w:rsidRPr="00F02F03">
              <w:rPr>
                <w:b/>
              </w:rPr>
              <w:t>Topic</w:t>
            </w:r>
          </w:p>
        </w:tc>
        <w:tc>
          <w:tcPr>
            <w:tcW w:w="2813" w:type="dxa"/>
          </w:tcPr>
          <w:p w:rsidR="00F02F03" w:rsidRDefault="00F02F03" w:rsidP="00F02F03">
            <w:pPr>
              <w:jc w:val="center"/>
              <w:rPr>
                <w:b/>
              </w:rPr>
            </w:pPr>
            <w:smartTag w:uri="urn:schemas-microsoft-com:office:smarttags" w:element="place">
              <w:smartTag w:uri="urn:schemas-microsoft-com:office:smarttags" w:element="City">
                <w:r>
                  <w:rPr>
                    <w:b/>
                  </w:rPr>
                  <w:t>Reading</w:t>
                </w:r>
              </w:smartTag>
            </w:smartTag>
          </w:p>
        </w:tc>
        <w:tc>
          <w:tcPr>
            <w:tcW w:w="2813" w:type="dxa"/>
          </w:tcPr>
          <w:p w:rsidR="00F02F03" w:rsidRDefault="00F02F03" w:rsidP="00F02F03">
            <w:pPr>
              <w:jc w:val="center"/>
              <w:rPr>
                <w:b/>
              </w:rPr>
            </w:pPr>
            <w:r>
              <w:rPr>
                <w:b/>
              </w:rPr>
              <w:t>Problems</w:t>
            </w:r>
          </w:p>
        </w:tc>
      </w:tr>
      <w:tr w:rsidR="00F02F03" w:rsidTr="00F02F03">
        <w:trPr>
          <w:trHeight w:val="560"/>
        </w:trPr>
        <w:tc>
          <w:tcPr>
            <w:tcW w:w="2813" w:type="dxa"/>
          </w:tcPr>
          <w:p w:rsidR="00F02F03" w:rsidRDefault="00F02F03" w:rsidP="00F02F03">
            <w:pPr>
              <w:pStyle w:val="Heading6"/>
              <w:numPr>
                <w:ilvl w:val="0"/>
                <w:numId w:val="12"/>
              </w:numPr>
            </w:pPr>
            <w:r>
              <w:t>March 28th</w:t>
            </w:r>
          </w:p>
        </w:tc>
        <w:tc>
          <w:tcPr>
            <w:tcW w:w="2813" w:type="dxa"/>
          </w:tcPr>
          <w:p w:rsidR="00F02F03" w:rsidRPr="00FA7944" w:rsidRDefault="00F02F03" w:rsidP="00F02F03">
            <w:pPr>
              <w:rPr>
                <w:b/>
                <w:sz w:val="22"/>
                <w:szCs w:val="22"/>
              </w:rPr>
            </w:pPr>
            <w:r w:rsidRPr="00FA7944">
              <w:rPr>
                <w:b/>
                <w:sz w:val="22"/>
                <w:szCs w:val="22"/>
              </w:rPr>
              <w:t>REVIEW OF BASIC TAX PRINCIPLES COVERED IN MGT. 127A</w:t>
            </w:r>
          </w:p>
          <w:p w:rsidR="00F02F03" w:rsidRPr="00FA7944" w:rsidRDefault="00F02F03" w:rsidP="00F02F03">
            <w:pPr>
              <w:rPr>
                <w:sz w:val="22"/>
                <w:szCs w:val="22"/>
              </w:rPr>
            </w:pPr>
            <w:r w:rsidRPr="00FA7944">
              <w:rPr>
                <w:sz w:val="22"/>
                <w:szCs w:val="22"/>
              </w:rPr>
              <w:t>- Ordinary Gain and Loss Rules</w:t>
            </w:r>
          </w:p>
          <w:p w:rsidR="00F02F03" w:rsidRPr="00FA7944" w:rsidRDefault="00F02F03" w:rsidP="00F02F03">
            <w:pPr>
              <w:rPr>
                <w:sz w:val="22"/>
                <w:szCs w:val="22"/>
              </w:rPr>
            </w:pPr>
            <w:r w:rsidRPr="00FA7944">
              <w:rPr>
                <w:sz w:val="22"/>
                <w:szCs w:val="22"/>
              </w:rPr>
              <w:t>- NOLs</w:t>
            </w:r>
          </w:p>
          <w:p w:rsidR="00F02F03" w:rsidRPr="00FA7944" w:rsidRDefault="00F02F03" w:rsidP="00F02F03">
            <w:pPr>
              <w:rPr>
                <w:sz w:val="22"/>
                <w:szCs w:val="22"/>
              </w:rPr>
            </w:pPr>
            <w:r w:rsidRPr="00FA7944">
              <w:rPr>
                <w:sz w:val="22"/>
                <w:szCs w:val="22"/>
              </w:rPr>
              <w:t>- Capital Gain and Loss</w:t>
            </w:r>
          </w:p>
        </w:tc>
        <w:tc>
          <w:tcPr>
            <w:tcW w:w="2813" w:type="dxa"/>
          </w:tcPr>
          <w:p w:rsidR="00F02F03" w:rsidRPr="00FA7944" w:rsidRDefault="00F02F03" w:rsidP="00F02F03">
            <w:pPr>
              <w:rPr>
                <w:b/>
                <w:i/>
                <w:sz w:val="22"/>
                <w:szCs w:val="22"/>
              </w:rPr>
            </w:pPr>
            <w:r w:rsidRPr="00FA7944">
              <w:rPr>
                <w:b/>
                <w:sz w:val="22"/>
                <w:szCs w:val="22"/>
              </w:rPr>
              <w:t>Ch. 2 (“Capital Gains and Losses” on p.11-12, p. 16)</w:t>
            </w:r>
          </w:p>
          <w:p w:rsidR="00F02F03" w:rsidRPr="00FA7944" w:rsidRDefault="00F02F03" w:rsidP="00F02F03">
            <w:pPr>
              <w:rPr>
                <w:b/>
                <w:i/>
                <w:sz w:val="22"/>
                <w:szCs w:val="22"/>
              </w:rPr>
            </w:pPr>
            <w:r w:rsidRPr="00FA7944">
              <w:rPr>
                <w:b/>
                <w:i/>
                <w:sz w:val="22"/>
                <w:szCs w:val="22"/>
              </w:rPr>
              <w:t>-</w:t>
            </w:r>
            <w:r w:rsidRPr="00FA7944">
              <w:rPr>
                <w:i/>
                <w:sz w:val="22"/>
                <w:szCs w:val="22"/>
              </w:rPr>
              <w:t xml:space="preserve"> Planning Case: “Jack in the Beanstalk” Case</w:t>
            </w:r>
          </w:p>
          <w:p w:rsidR="00F02F03" w:rsidRPr="00FA7944" w:rsidRDefault="00F02F03" w:rsidP="008B2CCC">
            <w:pPr>
              <w:pStyle w:val="Heading6"/>
            </w:pPr>
          </w:p>
        </w:tc>
        <w:tc>
          <w:tcPr>
            <w:tcW w:w="2813" w:type="dxa"/>
          </w:tcPr>
          <w:p w:rsidR="00F02F03" w:rsidRPr="00F02F03" w:rsidRDefault="00F02F03" w:rsidP="00F02F03">
            <w:pPr>
              <w:rPr>
                <w:b/>
              </w:rPr>
            </w:pPr>
            <w:r w:rsidRPr="00F02F03">
              <w:rPr>
                <w:b/>
              </w:rPr>
              <w:t>6, 14, 15, 42, 43, 44</w:t>
            </w:r>
          </w:p>
          <w:p w:rsidR="00F02F03" w:rsidRDefault="00F02F03" w:rsidP="008B2CCC">
            <w:pPr>
              <w:pStyle w:val="Heading6"/>
            </w:pPr>
          </w:p>
        </w:tc>
      </w:tr>
      <w:tr w:rsidR="00F02F03" w:rsidTr="00F02F03">
        <w:trPr>
          <w:trHeight w:val="560"/>
        </w:trPr>
        <w:tc>
          <w:tcPr>
            <w:tcW w:w="2813" w:type="dxa"/>
          </w:tcPr>
          <w:p w:rsidR="00F02F03" w:rsidRDefault="00F02F03" w:rsidP="00F02F03">
            <w:pPr>
              <w:pStyle w:val="Heading6"/>
              <w:numPr>
                <w:ilvl w:val="0"/>
                <w:numId w:val="12"/>
              </w:numPr>
            </w:pPr>
            <w:r>
              <w:t>April 4</w:t>
            </w:r>
            <w:r w:rsidRPr="00F02F03">
              <w:rPr>
                <w:vertAlign w:val="superscript"/>
              </w:rPr>
              <w:t>th</w:t>
            </w:r>
            <w:r>
              <w:t xml:space="preserve"> </w:t>
            </w:r>
          </w:p>
        </w:tc>
        <w:tc>
          <w:tcPr>
            <w:tcW w:w="2813" w:type="dxa"/>
          </w:tcPr>
          <w:p w:rsidR="00F02F03" w:rsidRPr="00FA7944" w:rsidRDefault="00F943FD" w:rsidP="00F943FD">
            <w:pPr>
              <w:rPr>
                <w:sz w:val="22"/>
                <w:szCs w:val="22"/>
              </w:rPr>
            </w:pPr>
            <w:r w:rsidRPr="00FA7944">
              <w:rPr>
                <w:rStyle w:val="HTMLTypewriter"/>
                <w:sz w:val="22"/>
                <w:szCs w:val="22"/>
              </w:rPr>
              <w:t>-</w:t>
            </w:r>
            <w:r w:rsidRPr="00FA7944">
              <w:rPr>
                <w:rStyle w:val="HTMLTypewriter"/>
                <w:rFonts w:ascii="Times New Roman" w:hAnsi="Times New Roman" w:cs="Times New Roman"/>
                <w:sz w:val="22"/>
                <w:szCs w:val="22"/>
              </w:rPr>
              <w:t xml:space="preserve"> The Dividends-Received Deduction (“DRD”) </w:t>
            </w:r>
          </w:p>
        </w:tc>
        <w:tc>
          <w:tcPr>
            <w:tcW w:w="2813" w:type="dxa"/>
          </w:tcPr>
          <w:p w:rsidR="00F02F03" w:rsidRPr="00FA7944" w:rsidRDefault="00F943FD" w:rsidP="00F943FD">
            <w:pPr>
              <w:rPr>
                <w:b/>
                <w:sz w:val="22"/>
                <w:szCs w:val="22"/>
              </w:rPr>
            </w:pPr>
            <w:r w:rsidRPr="00FA7944">
              <w:rPr>
                <w:b/>
                <w:sz w:val="22"/>
                <w:szCs w:val="22"/>
              </w:rPr>
              <w:t>Chapter 2 (p.16 - 18)</w:t>
            </w:r>
          </w:p>
        </w:tc>
        <w:tc>
          <w:tcPr>
            <w:tcW w:w="2813" w:type="dxa"/>
          </w:tcPr>
          <w:p w:rsidR="00F02F03" w:rsidRPr="00F943FD" w:rsidRDefault="00F943FD" w:rsidP="008B2CCC">
            <w:pPr>
              <w:pStyle w:val="Heading6"/>
            </w:pPr>
            <w:r w:rsidRPr="00F943FD">
              <w:t>None</w:t>
            </w:r>
          </w:p>
        </w:tc>
      </w:tr>
      <w:tr w:rsidR="00F02F03" w:rsidTr="00F02F03">
        <w:trPr>
          <w:trHeight w:val="576"/>
        </w:trPr>
        <w:tc>
          <w:tcPr>
            <w:tcW w:w="2813" w:type="dxa"/>
          </w:tcPr>
          <w:p w:rsidR="00F02F03" w:rsidRDefault="00F02F03" w:rsidP="00F02F03">
            <w:pPr>
              <w:pStyle w:val="Heading6"/>
              <w:numPr>
                <w:ilvl w:val="0"/>
                <w:numId w:val="12"/>
              </w:numPr>
            </w:pPr>
            <w:r>
              <w:t>April 11</w:t>
            </w:r>
            <w:r w:rsidRPr="00F02F03">
              <w:rPr>
                <w:vertAlign w:val="superscript"/>
              </w:rPr>
              <w:t>th</w:t>
            </w:r>
            <w:r>
              <w:t xml:space="preserve"> </w:t>
            </w:r>
          </w:p>
        </w:tc>
        <w:tc>
          <w:tcPr>
            <w:tcW w:w="2813" w:type="dxa"/>
          </w:tcPr>
          <w:p w:rsidR="00F943FD" w:rsidRPr="00FA7944" w:rsidRDefault="00F943FD" w:rsidP="00F943FD">
            <w:pPr>
              <w:rPr>
                <w:rStyle w:val="HTMLTypewriter"/>
                <w:rFonts w:ascii="Times New Roman" w:hAnsi="Times New Roman" w:cs="Times New Roman"/>
                <w:sz w:val="22"/>
                <w:szCs w:val="22"/>
              </w:rPr>
            </w:pPr>
            <w:r w:rsidRPr="00FA7944">
              <w:rPr>
                <w:rStyle w:val="HTMLTypewriter"/>
                <w:sz w:val="22"/>
                <w:szCs w:val="22"/>
              </w:rPr>
              <w:t>-</w:t>
            </w:r>
            <w:r w:rsidRPr="00FA7944">
              <w:rPr>
                <w:rStyle w:val="HTMLTypewriter"/>
                <w:rFonts w:ascii="Times New Roman" w:hAnsi="Times New Roman" w:cs="Times New Roman"/>
                <w:sz w:val="22"/>
                <w:szCs w:val="22"/>
              </w:rPr>
              <w:t xml:space="preserve"> The Economic Rationale for the DRD</w:t>
            </w:r>
          </w:p>
          <w:p w:rsidR="00F02F03" w:rsidRPr="00FA7944" w:rsidRDefault="00F943FD" w:rsidP="00F943FD">
            <w:pPr>
              <w:rPr>
                <w:sz w:val="22"/>
                <w:szCs w:val="22"/>
              </w:rPr>
            </w:pPr>
            <w:r w:rsidRPr="00FA7944">
              <w:rPr>
                <w:rStyle w:val="HTMLTypewriter"/>
                <w:rFonts w:ascii="Times New Roman" w:hAnsi="Times New Roman" w:cs="Times New Roman"/>
                <w:sz w:val="22"/>
                <w:szCs w:val="22"/>
              </w:rPr>
              <w:t>- Cash Flow Analysis in DRD Scenario</w:t>
            </w:r>
          </w:p>
        </w:tc>
        <w:tc>
          <w:tcPr>
            <w:tcW w:w="2813" w:type="dxa"/>
          </w:tcPr>
          <w:p w:rsidR="00F943FD" w:rsidRPr="00FA7944" w:rsidRDefault="00624D5D" w:rsidP="00F943FD">
            <w:pPr>
              <w:rPr>
                <w:sz w:val="22"/>
                <w:szCs w:val="22"/>
              </w:rPr>
            </w:pPr>
            <w:r w:rsidRPr="00FA7944">
              <w:rPr>
                <w:i/>
                <w:sz w:val="22"/>
                <w:szCs w:val="22"/>
              </w:rPr>
              <w:t xml:space="preserve">- </w:t>
            </w:r>
            <w:r w:rsidR="00F943FD" w:rsidRPr="00FA7944">
              <w:rPr>
                <w:i/>
                <w:sz w:val="22"/>
                <w:szCs w:val="22"/>
              </w:rPr>
              <w:t xml:space="preserve">Planning Case: </w:t>
            </w:r>
            <w:r w:rsidR="00F943FD" w:rsidRPr="00FA7944">
              <w:rPr>
                <w:sz w:val="22"/>
                <w:szCs w:val="22"/>
              </w:rPr>
              <w:t>Friendship</w:t>
            </w:r>
          </w:p>
          <w:p w:rsidR="00F02F03" w:rsidRPr="00FA7944" w:rsidRDefault="00624D5D" w:rsidP="00F943FD">
            <w:pPr>
              <w:rPr>
                <w:sz w:val="22"/>
                <w:szCs w:val="22"/>
              </w:rPr>
            </w:pPr>
            <w:r w:rsidRPr="00FA7944">
              <w:rPr>
                <w:sz w:val="22"/>
                <w:szCs w:val="22"/>
              </w:rPr>
              <w:t xml:space="preserve">- </w:t>
            </w:r>
            <w:r w:rsidR="00F943FD" w:rsidRPr="00FA7944">
              <w:rPr>
                <w:i/>
                <w:sz w:val="22"/>
                <w:szCs w:val="22"/>
              </w:rPr>
              <w:t xml:space="preserve">Planning Case: </w:t>
            </w:r>
            <w:r w:rsidR="00F943FD" w:rsidRPr="00FA7944">
              <w:rPr>
                <w:sz w:val="22"/>
                <w:szCs w:val="22"/>
              </w:rPr>
              <w:t>Dividend Capturing: The Scam</w:t>
            </w:r>
          </w:p>
        </w:tc>
        <w:tc>
          <w:tcPr>
            <w:tcW w:w="2813" w:type="dxa"/>
          </w:tcPr>
          <w:p w:rsidR="00F02F03" w:rsidRDefault="00F943FD" w:rsidP="008B2CCC">
            <w:pPr>
              <w:pStyle w:val="Heading6"/>
            </w:pPr>
            <w:r w:rsidRPr="00F943FD">
              <w:t>None</w:t>
            </w:r>
          </w:p>
        </w:tc>
      </w:tr>
      <w:tr w:rsidR="00F02F03" w:rsidTr="00F02F03">
        <w:trPr>
          <w:trHeight w:val="576"/>
        </w:trPr>
        <w:tc>
          <w:tcPr>
            <w:tcW w:w="2813" w:type="dxa"/>
          </w:tcPr>
          <w:p w:rsidR="00F02F03" w:rsidRDefault="00F02F03" w:rsidP="00F02F03">
            <w:pPr>
              <w:pStyle w:val="Heading6"/>
              <w:numPr>
                <w:ilvl w:val="0"/>
                <w:numId w:val="12"/>
              </w:numPr>
            </w:pPr>
            <w:r>
              <w:t>April 18</w:t>
            </w:r>
            <w:r w:rsidRPr="00F02F03">
              <w:rPr>
                <w:vertAlign w:val="superscript"/>
              </w:rPr>
              <w:t>th</w:t>
            </w:r>
          </w:p>
        </w:tc>
        <w:tc>
          <w:tcPr>
            <w:tcW w:w="2813" w:type="dxa"/>
          </w:tcPr>
          <w:p w:rsidR="00F943FD" w:rsidRPr="00FA7944" w:rsidRDefault="00F943FD" w:rsidP="00F943FD">
            <w:pPr>
              <w:rPr>
                <w:rStyle w:val="HTMLTypewriter"/>
                <w:rFonts w:ascii="Times New Roman" w:hAnsi="Times New Roman" w:cs="Times New Roman"/>
                <w:b/>
                <w:sz w:val="22"/>
                <w:szCs w:val="22"/>
              </w:rPr>
            </w:pPr>
            <w:r w:rsidRPr="00FA7944">
              <w:rPr>
                <w:rStyle w:val="HTMLTypewriter"/>
                <w:rFonts w:ascii="Times New Roman" w:hAnsi="Times New Roman" w:cs="Times New Roman"/>
                <w:b/>
                <w:sz w:val="22"/>
                <w:szCs w:val="22"/>
              </w:rPr>
              <w:t>Strategies for Transferring Assets Into a Corporation</w:t>
            </w:r>
          </w:p>
          <w:p w:rsidR="00F943FD" w:rsidRPr="00FA7944" w:rsidRDefault="00F943FD" w:rsidP="00F943FD">
            <w:pPr>
              <w:rPr>
                <w:rStyle w:val="HTMLTypewriter"/>
                <w:rFonts w:ascii="Times New Roman" w:hAnsi="Times New Roman" w:cs="Times New Roman"/>
                <w:sz w:val="22"/>
                <w:szCs w:val="22"/>
              </w:rPr>
            </w:pPr>
            <w:r w:rsidRPr="00FA7944">
              <w:rPr>
                <w:rStyle w:val="HTMLTypewriter"/>
                <w:rFonts w:ascii="Times New Roman" w:hAnsi="Times New Roman" w:cs="Times New Roman"/>
                <w:sz w:val="22"/>
                <w:szCs w:val="22"/>
              </w:rPr>
              <w:t>- The difference between a “one-way” and a “two-way” corporate formation</w:t>
            </w:r>
          </w:p>
          <w:p w:rsidR="00F02F03" w:rsidRPr="00FA7944" w:rsidRDefault="00F943FD" w:rsidP="00F943FD">
            <w:pPr>
              <w:rPr>
                <w:sz w:val="22"/>
                <w:szCs w:val="22"/>
              </w:rPr>
            </w:pPr>
            <w:r w:rsidRPr="00FA7944">
              <w:rPr>
                <w:rStyle w:val="HTMLTypewriter"/>
                <w:rFonts w:ascii="Times New Roman" w:hAnsi="Times New Roman" w:cs="Times New Roman"/>
                <w:sz w:val="22"/>
                <w:szCs w:val="22"/>
              </w:rPr>
              <w:t>- The rules applicable to Section 351 transactions</w:t>
            </w:r>
          </w:p>
        </w:tc>
        <w:tc>
          <w:tcPr>
            <w:tcW w:w="2813" w:type="dxa"/>
          </w:tcPr>
          <w:p w:rsidR="00F943FD" w:rsidRPr="00FA7944" w:rsidRDefault="00F943FD" w:rsidP="00F943FD">
            <w:pPr>
              <w:rPr>
                <w:b/>
                <w:sz w:val="22"/>
                <w:szCs w:val="22"/>
              </w:rPr>
            </w:pPr>
            <w:r w:rsidRPr="00FA7944">
              <w:rPr>
                <w:b/>
                <w:sz w:val="22"/>
                <w:szCs w:val="22"/>
              </w:rPr>
              <w:t>Chapter 4 (p.1 – 18; 24 - end)</w:t>
            </w:r>
          </w:p>
          <w:p w:rsidR="00F943FD" w:rsidRPr="00FA7944" w:rsidRDefault="00624D5D" w:rsidP="00624D5D">
            <w:pPr>
              <w:rPr>
                <w:sz w:val="22"/>
                <w:szCs w:val="22"/>
              </w:rPr>
            </w:pPr>
            <w:r w:rsidRPr="00FA7944">
              <w:rPr>
                <w:i/>
                <w:sz w:val="22"/>
                <w:szCs w:val="22"/>
              </w:rPr>
              <w:t xml:space="preserve">- </w:t>
            </w:r>
            <w:r w:rsidR="00F943FD" w:rsidRPr="00FA7944">
              <w:rPr>
                <w:i/>
                <w:sz w:val="22"/>
                <w:szCs w:val="22"/>
              </w:rPr>
              <w:t xml:space="preserve">Article: </w:t>
            </w:r>
            <w:r w:rsidR="00F943FD" w:rsidRPr="00FA7944">
              <w:rPr>
                <w:sz w:val="22"/>
                <w:szCs w:val="22"/>
              </w:rPr>
              <w:t>Section 351, Internal Revenue Code</w:t>
            </w:r>
          </w:p>
          <w:p w:rsidR="00F943FD" w:rsidRPr="00FA7944" w:rsidRDefault="00624D5D" w:rsidP="00F943FD">
            <w:pPr>
              <w:rPr>
                <w:i/>
                <w:sz w:val="22"/>
                <w:szCs w:val="22"/>
              </w:rPr>
            </w:pPr>
            <w:r w:rsidRPr="00FA7944">
              <w:rPr>
                <w:sz w:val="22"/>
                <w:szCs w:val="22"/>
              </w:rPr>
              <w:t xml:space="preserve">- </w:t>
            </w:r>
            <w:r w:rsidR="00F943FD" w:rsidRPr="00FA7944">
              <w:rPr>
                <w:i/>
                <w:sz w:val="22"/>
                <w:szCs w:val="22"/>
              </w:rPr>
              <w:t xml:space="preserve">Planning Issue: </w:t>
            </w:r>
            <w:r w:rsidR="00F943FD" w:rsidRPr="00FA7944">
              <w:rPr>
                <w:sz w:val="22"/>
                <w:szCs w:val="22"/>
              </w:rPr>
              <w:t>Would a taxpayer ever consider contributing property to a corporation without receiving stock (or any other consideration) in return?</w:t>
            </w:r>
            <w:r w:rsidR="00F943FD" w:rsidRPr="00FA7944">
              <w:rPr>
                <w:i/>
                <w:sz w:val="22"/>
                <w:szCs w:val="22"/>
              </w:rPr>
              <w:t xml:space="preserve"> </w:t>
            </w:r>
          </w:p>
          <w:p w:rsidR="00F943FD" w:rsidRPr="00FA7944" w:rsidRDefault="00624D5D" w:rsidP="00F943FD">
            <w:pPr>
              <w:rPr>
                <w:rStyle w:val="HTMLTypewriter"/>
                <w:i/>
                <w:sz w:val="22"/>
                <w:szCs w:val="22"/>
              </w:rPr>
            </w:pPr>
            <w:r w:rsidRPr="00FA7944">
              <w:rPr>
                <w:i/>
                <w:sz w:val="22"/>
                <w:szCs w:val="22"/>
              </w:rPr>
              <w:t xml:space="preserve">- </w:t>
            </w:r>
            <w:r w:rsidR="00F943FD" w:rsidRPr="00FA7944">
              <w:rPr>
                <w:i/>
                <w:sz w:val="22"/>
                <w:szCs w:val="22"/>
              </w:rPr>
              <w:t xml:space="preserve">Planning Case: </w:t>
            </w:r>
            <w:r w:rsidR="00F943FD" w:rsidRPr="00FA7944">
              <w:rPr>
                <w:sz w:val="22"/>
                <w:szCs w:val="22"/>
              </w:rPr>
              <w:t>Negotiating Ownership Share</w:t>
            </w:r>
          </w:p>
          <w:p w:rsidR="00F02F03" w:rsidRPr="00FA7944" w:rsidRDefault="00624D5D" w:rsidP="00624D5D">
            <w:pPr>
              <w:rPr>
                <w:sz w:val="22"/>
                <w:szCs w:val="22"/>
              </w:rPr>
            </w:pPr>
            <w:r w:rsidRPr="00FA7944">
              <w:rPr>
                <w:i/>
                <w:sz w:val="22"/>
                <w:szCs w:val="22"/>
              </w:rPr>
              <w:t xml:space="preserve">- </w:t>
            </w:r>
            <w:r w:rsidR="00F943FD" w:rsidRPr="00FA7944">
              <w:rPr>
                <w:i/>
                <w:sz w:val="22"/>
                <w:szCs w:val="22"/>
              </w:rPr>
              <w:t xml:space="preserve">Planning Case: </w:t>
            </w:r>
            <w:r w:rsidR="00F943FD" w:rsidRPr="00FA7944">
              <w:rPr>
                <w:sz w:val="22"/>
                <w:szCs w:val="22"/>
              </w:rPr>
              <w:t xml:space="preserve">Win-Win </w:t>
            </w:r>
          </w:p>
        </w:tc>
        <w:tc>
          <w:tcPr>
            <w:tcW w:w="2813" w:type="dxa"/>
          </w:tcPr>
          <w:p w:rsidR="00624D5D" w:rsidRPr="00E86C5F" w:rsidRDefault="00624D5D" w:rsidP="00624D5D">
            <w:pPr>
              <w:rPr>
                <w:b/>
              </w:rPr>
            </w:pPr>
            <w:r w:rsidRPr="00E86C5F">
              <w:rPr>
                <w:b/>
              </w:rPr>
              <w:t>26, 28, 29, 30, 31, 34</w:t>
            </w:r>
          </w:p>
          <w:p w:rsidR="00624D5D" w:rsidRPr="00E86C5F" w:rsidRDefault="00624D5D" w:rsidP="00624D5D">
            <w:pPr>
              <w:rPr>
                <w:b/>
              </w:rPr>
            </w:pPr>
            <w:r w:rsidRPr="00E86C5F">
              <w:rPr>
                <w:b/>
              </w:rPr>
              <w:t>38, 39</w:t>
            </w:r>
          </w:p>
          <w:p w:rsidR="00F02F03" w:rsidRDefault="00F02F03" w:rsidP="008B2CCC">
            <w:pPr>
              <w:pStyle w:val="Heading6"/>
            </w:pPr>
          </w:p>
        </w:tc>
      </w:tr>
      <w:tr w:rsidR="00624D5D" w:rsidTr="00F02F03">
        <w:trPr>
          <w:trHeight w:val="560"/>
        </w:trPr>
        <w:tc>
          <w:tcPr>
            <w:tcW w:w="2813" w:type="dxa"/>
          </w:tcPr>
          <w:p w:rsidR="00624D5D" w:rsidRDefault="00624D5D" w:rsidP="00F02F03">
            <w:pPr>
              <w:pStyle w:val="Heading6"/>
              <w:numPr>
                <w:ilvl w:val="0"/>
                <w:numId w:val="12"/>
              </w:numPr>
            </w:pPr>
            <w:r>
              <w:t>April 25</w:t>
            </w:r>
            <w:r w:rsidRPr="00F02F03">
              <w:rPr>
                <w:vertAlign w:val="superscript"/>
              </w:rPr>
              <w:t>th</w:t>
            </w:r>
            <w:r>
              <w:t xml:space="preserve"> </w:t>
            </w:r>
          </w:p>
        </w:tc>
        <w:tc>
          <w:tcPr>
            <w:tcW w:w="2813" w:type="dxa"/>
          </w:tcPr>
          <w:p w:rsidR="00624D5D" w:rsidRPr="00FA7944" w:rsidRDefault="00624D5D" w:rsidP="00624D5D">
            <w:pPr>
              <w:rPr>
                <w:b/>
                <w:sz w:val="22"/>
                <w:szCs w:val="22"/>
              </w:rPr>
            </w:pPr>
            <w:r w:rsidRPr="00FA7944">
              <w:rPr>
                <w:b/>
                <w:sz w:val="22"/>
                <w:szCs w:val="22"/>
              </w:rPr>
              <w:t>Strategies for Withdrawing Assets from a Corporation</w:t>
            </w:r>
          </w:p>
          <w:p w:rsidR="00624D5D" w:rsidRPr="00FA7944" w:rsidRDefault="00624D5D" w:rsidP="00624D5D">
            <w:pPr>
              <w:rPr>
                <w:sz w:val="22"/>
                <w:szCs w:val="22"/>
              </w:rPr>
            </w:pPr>
            <w:r w:rsidRPr="00FA7944">
              <w:rPr>
                <w:sz w:val="22"/>
                <w:szCs w:val="22"/>
              </w:rPr>
              <w:t>- Cash Distributions (We will cover only the first 3 cases. Case 4 rarely arises.)</w:t>
            </w:r>
          </w:p>
          <w:p w:rsidR="00624D5D" w:rsidRPr="00FA7944" w:rsidRDefault="00624D5D" w:rsidP="00624D5D">
            <w:pPr>
              <w:rPr>
                <w:sz w:val="22"/>
                <w:szCs w:val="22"/>
              </w:rPr>
            </w:pPr>
            <w:r w:rsidRPr="00FA7944">
              <w:rPr>
                <w:sz w:val="22"/>
                <w:szCs w:val="22"/>
              </w:rPr>
              <w:t xml:space="preserve"> - Property Distributions</w:t>
            </w:r>
          </w:p>
          <w:p w:rsidR="00624D5D" w:rsidRPr="00FA7944" w:rsidRDefault="00624D5D" w:rsidP="00624D5D">
            <w:pPr>
              <w:rPr>
                <w:sz w:val="22"/>
                <w:szCs w:val="22"/>
              </w:rPr>
            </w:pPr>
            <w:r w:rsidRPr="00FA7944">
              <w:rPr>
                <w:sz w:val="22"/>
                <w:szCs w:val="22"/>
              </w:rPr>
              <w:t>- Economic Substance of Constructive Dividends</w:t>
            </w:r>
          </w:p>
          <w:p w:rsidR="00624D5D" w:rsidRPr="00FA7944" w:rsidRDefault="00624D5D" w:rsidP="00624D5D">
            <w:pPr>
              <w:rPr>
                <w:b/>
                <w:sz w:val="22"/>
                <w:szCs w:val="22"/>
              </w:rPr>
            </w:pPr>
            <w:r w:rsidRPr="00FA7944">
              <w:rPr>
                <w:b/>
                <w:sz w:val="22"/>
                <w:szCs w:val="22"/>
              </w:rPr>
              <w:t>Stock Redemptions</w:t>
            </w:r>
          </w:p>
          <w:p w:rsidR="00624D5D" w:rsidRPr="00FA7944" w:rsidRDefault="00624D5D" w:rsidP="00624D5D">
            <w:pPr>
              <w:rPr>
                <w:sz w:val="22"/>
                <w:szCs w:val="22"/>
              </w:rPr>
            </w:pPr>
            <w:r w:rsidRPr="00FA7944">
              <w:rPr>
                <w:sz w:val="22"/>
                <w:szCs w:val="22"/>
              </w:rPr>
              <w:t>- The Economics of Mutual, Proportionate Stock Redemptions</w:t>
            </w:r>
          </w:p>
          <w:p w:rsidR="00624D5D" w:rsidRPr="00FA7944" w:rsidRDefault="00624D5D" w:rsidP="00624D5D">
            <w:pPr>
              <w:rPr>
                <w:sz w:val="22"/>
                <w:szCs w:val="22"/>
              </w:rPr>
            </w:pPr>
            <w:r w:rsidRPr="00FA7944">
              <w:rPr>
                <w:sz w:val="22"/>
                <w:szCs w:val="22"/>
              </w:rPr>
              <w:t xml:space="preserve">- Stock Redemptions: The </w:t>
            </w:r>
            <w:r w:rsidRPr="00FA7944">
              <w:rPr>
                <w:sz w:val="22"/>
                <w:szCs w:val="22"/>
              </w:rPr>
              <w:lastRenderedPageBreak/>
              <w:t>Loophole</w:t>
            </w:r>
          </w:p>
          <w:p w:rsidR="00624D5D" w:rsidRPr="00FA7944" w:rsidRDefault="00624D5D" w:rsidP="00624D5D">
            <w:pPr>
              <w:rPr>
                <w:sz w:val="22"/>
                <w:szCs w:val="22"/>
              </w:rPr>
            </w:pPr>
            <w:r w:rsidRPr="00FA7944">
              <w:rPr>
                <w:sz w:val="22"/>
                <w:szCs w:val="22"/>
              </w:rPr>
              <w:t>- Stock Redemptions: Plugging The Loophole</w:t>
            </w:r>
          </w:p>
          <w:p w:rsidR="00624D5D" w:rsidRPr="00FA7944" w:rsidRDefault="00624D5D" w:rsidP="00624D5D">
            <w:pPr>
              <w:ind w:right="-108"/>
              <w:rPr>
                <w:rStyle w:val="HTMLTypewriter"/>
                <w:sz w:val="22"/>
                <w:szCs w:val="22"/>
              </w:rPr>
            </w:pPr>
            <w:r w:rsidRPr="00FA7944">
              <w:rPr>
                <w:sz w:val="22"/>
                <w:szCs w:val="22"/>
              </w:rPr>
              <w:t xml:space="preserve">- </w:t>
            </w:r>
            <w:r w:rsidRPr="00FA7944">
              <w:rPr>
                <w:rStyle w:val="HTMLTypewriter"/>
                <w:rFonts w:ascii="Times New Roman" w:hAnsi="Times New Roman" w:cs="Times New Roman"/>
                <w:sz w:val="22"/>
                <w:szCs w:val="22"/>
              </w:rPr>
              <w:t>The Impact of  Stock Redemptions on the Distributing Corporation</w:t>
            </w:r>
          </w:p>
          <w:p w:rsidR="00624D5D" w:rsidRPr="00FA7944" w:rsidRDefault="00624D5D" w:rsidP="00624D5D">
            <w:pPr>
              <w:ind w:right="-108"/>
              <w:rPr>
                <w:sz w:val="22"/>
                <w:szCs w:val="22"/>
              </w:rPr>
            </w:pPr>
          </w:p>
          <w:p w:rsidR="00624D5D" w:rsidRPr="00624D5D" w:rsidRDefault="00624D5D" w:rsidP="00624D5D">
            <w:pPr>
              <w:rPr>
                <w:b/>
                <w:sz w:val="20"/>
              </w:rPr>
            </w:pPr>
            <w:r w:rsidRPr="00FA7944">
              <w:rPr>
                <w:b/>
                <w:sz w:val="22"/>
                <w:szCs w:val="22"/>
              </w:rPr>
              <w:t xml:space="preserve"> NOTE:  MATERIAL ABOVE THIS SENTENCE WILL BE TESTED ON THE MIDTERM. MATERIAL BELOW HERE WILL APPEAR ONLY ON THE FINAL EXAM.</w:t>
            </w:r>
          </w:p>
        </w:tc>
        <w:tc>
          <w:tcPr>
            <w:tcW w:w="2813" w:type="dxa"/>
          </w:tcPr>
          <w:p w:rsidR="00624D5D" w:rsidRPr="00FA7944" w:rsidRDefault="00624D5D" w:rsidP="00A872D2">
            <w:pPr>
              <w:rPr>
                <w:b/>
                <w:sz w:val="22"/>
                <w:szCs w:val="22"/>
              </w:rPr>
            </w:pPr>
            <w:r w:rsidRPr="00FA7944">
              <w:rPr>
                <w:b/>
                <w:sz w:val="22"/>
                <w:szCs w:val="22"/>
              </w:rPr>
              <w:lastRenderedPageBreak/>
              <w:t xml:space="preserve">Ch. 5 </w:t>
            </w:r>
          </w:p>
          <w:p w:rsidR="00624D5D" w:rsidRPr="00FA7944" w:rsidRDefault="00624D5D" w:rsidP="00624D5D">
            <w:pPr>
              <w:rPr>
                <w:b/>
                <w:sz w:val="22"/>
                <w:szCs w:val="22"/>
              </w:rPr>
            </w:pPr>
          </w:p>
          <w:p w:rsidR="00624D5D" w:rsidRPr="00FA7944" w:rsidRDefault="00624D5D" w:rsidP="00624D5D">
            <w:pPr>
              <w:rPr>
                <w:b/>
                <w:sz w:val="22"/>
                <w:szCs w:val="22"/>
              </w:rPr>
            </w:pPr>
            <w:r w:rsidRPr="00FA7944">
              <w:rPr>
                <w:b/>
                <w:sz w:val="22"/>
                <w:szCs w:val="22"/>
              </w:rPr>
              <w:t>Ch. 6 (p. 1 to p.14)</w:t>
            </w:r>
          </w:p>
          <w:p w:rsidR="00624D5D" w:rsidRPr="00FA7944" w:rsidRDefault="00624D5D" w:rsidP="00624D5D">
            <w:pPr>
              <w:rPr>
                <w:i/>
                <w:sz w:val="22"/>
                <w:szCs w:val="22"/>
              </w:rPr>
            </w:pPr>
            <w:r w:rsidRPr="00FA7944">
              <w:rPr>
                <w:i/>
                <w:sz w:val="22"/>
                <w:szCs w:val="22"/>
              </w:rPr>
              <w:t xml:space="preserve">- </w:t>
            </w:r>
            <w:r w:rsidRPr="00FA7944">
              <w:rPr>
                <w:i/>
                <w:sz w:val="22"/>
                <w:szCs w:val="22"/>
              </w:rPr>
              <w:t xml:space="preserve">Planning Case: </w:t>
            </w:r>
            <w:r w:rsidRPr="00FA7944">
              <w:rPr>
                <w:sz w:val="22"/>
                <w:szCs w:val="22"/>
              </w:rPr>
              <w:t>The Addams Family (</w:t>
            </w:r>
            <w:r w:rsidRPr="00FA7944">
              <w:rPr>
                <w:i/>
                <w:sz w:val="22"/>
                <w:szCs w:val="22"/>
              </w:rPr>
              <w:t>How many shares must Grandma sell to the corporation to obtain capital gain treatment?)</w:t>
            </w:r>
          </w:p>
          <w:p w:rsidR="00624D5D" w:rsidRPr="00FA7944" w:rsidRDefault="00624D5D" w:rsidP="00624D5D">
            <w:pPr>
              <w:rPr>
                <w:i/>
                <w:sz w:val="22"/>
                <w:szCs w:val="22"/>
              </w:rPr>
            </w:pPr>
          </w:p>
          <w:p w:rsidR="00624D5D" w:rsidRPr="00FA7944" w:rsidRDefault="00624D5D" w:rsidP="00624D5D">
            <w:pPr>
              <w:rPr>
                <w:i/>
                <w:sz w:val="22"/>
                <w:szCs w:val="22"/>
              </w:rPr>
            </w:pPr>
            <w:r w:rsidRPr="00FA7944">
              <w:rPr>
                <w:i/>
                <w:sz w:val="22"/>
                <w:szCs w:val="22"/>
              </w:rPr>
              <w:t xml:space="preserve">- </w:t>
            </w:r>
            <w:r w:rsidRPr="00FA7944">
              <w:rPr>
                <w:i/>
                <w:sz w:val="22"/>
                <w:szCs w:val="22"/>
              </w:rPr>
              <w:t xml:space="preserve">Economics Issue: Do the tax rules concerning stock redemptions reflect “economic substance over </w:t>
            </w:r>
            <w:r w:rsidRPr="00FA7944">
              <w:rPr>
                <w:i/>
                <w:sz w:val="22"/>
                <w:szCs w:val="22"/>
              </w:rPr>
              <w:lastRenderedPageBreak/>
              <w:t>form” concepts?”</w:t>
            </w:r>
          </w:p>
          <w:p w:rsidR="00624D5D" w:rsidRPr="00FA7944" w:rsidRDefault="00624D5D" w:rsidP="00624D5D">
            <w:pPr>
              <w:rPr>
                <w:rStyle w:val="HTMLTypewriter"/>
                <w:i/>
                <w:sz w:val="22"/>
                <w:szCs w:val="22"/>
              </w:rPr>
            </w:pPr>
            <w:r w:rsidRPr="00FA7944">
              <w:rPr>
                <w:sz w:val="22"/>
                <w:szCs w:val="22"/>
              </w:rPr>
              <w:t xml:space="preserve">- </w:t>
            </w:r>
            <w:r w:rsidRPr="00FA7944">
              <w:rPr>
                <w:rStyle w:val="HTMLTypewriter"/>
                <w:i/>
                <w:sz w:val="22"/>
                <w:szCs w:val="22"/>
              </w:rPr>
              <w:t xml:space="preserve">Article: “Hollywood Shuffle: </w:t>
            </w:r>
            <w:proofErr w:type="spellStart"/>
            <w:r w:rsidRPr="00FA7944">
              <w:rPr>
                <w:rStyle w:val="HTMLTypewriter"/>
                <w:i/>
                <w:sz w:val="22"/>
                <w:szCs w:val="22"/>
              </w:rPr>
              <w:t>Seagrams</w:t>
            </w:r>
            <w:proofErr w:type="spellEnd"/>
            <w:r w:rsidRPr="00FA7944">
              <w:rPr>
                <w:rStyle w:val="HTMLTypewriter"/>
                <w:i/>
                <w:sz w:val="22"/>
                <w:szCs w:val="22"/>
              </w:rPr>
              <w:t xml:space="preserve"> and </w:t>
            </w:r>
            <w:proofErr w:type="spellStart"/>
            <w:r w:rsidRPr="00FA7944">
              <w:rPr>
                <w:rStyle w:val="HTMLTypewriter"/>
                <w:i/>
                <w:sz w:val="22"/>
                <w:szCs w:val="22"/>
              </w:rPr>
              <w:t>Dupont</w:t>
            </w:r>
            <w:proofErr w:type="spellEnd"/>
          </w:p>
          <w:p w:rsidR="00624D5D" w:rsidRPr="00FA7944" w:rsidRDefault="00624D5D" w:rsidP="00624D5D">
            <w:pPr>
              <w:rPr>
                <w:sz w:val="22"/>
                <w:szCs w:val="22"/>
              </w:rPr>
            </w:pPr>
            <w:r w:rsidRPr="00FA7944">
              <w:rPr>
                <w:sz w:val="22"/>
                <w:szCs w:val="22"/>
              </w:rPr>
              <w:t xml:space="preserve">- </w:t>
            </w:r>
            <w:r w:rsidRPr="00FA7944">
              <w:rPr>
                <w:i/>
                <w:sz w:val="22"/>
                <w:szCs w:val="22"/>
              </w:rPr>
              <w:t>Planning Issue: Did Edgar Bronfman serve the best interests of his shareholders?</w:t>
            </w:r>
          </w:p>
          <w:p w:rsidR="00624D5D" w:rsidRPr="00FA7944" w:rsidRDefault="00624D5D" w:rsidP="00A872D2">
            <w:pPr>
              <w:rPr>
                <w:i/>
                <w:sz w:val="22"/>
                <w:szCs w:val="22"/>
              </w:rPr>
            </w:pPr>
          </w:p>
          <w:p w:rsidR="00624D5D" w:rsidRDefault="00624D5D" w:rsidP="00A872D2">
            <w:pPr>
              <w:rPr>
                <w:i/>
              </w:rPr>
            </w:pPr>
          </w:p>
          <w:p w:rsidR="00624D5D" w:rsidRDefault="00624D5D" w:rsidP="00A872D2"/>
          <w:p w:rsidR="00624D5D" w:rsidRPr="00E9600B" w:rsidRDefault="00624D5D" w:rsidP="00A872D2"/>
          <w:p w:rsidR="00624D5D" w:rsidRDefault="00624D5D" w:rsidP="00A872D2">
            <w:pPr>
              <w:rPr>
                <w:i/>
              </w:rPr>
            </w:pPr>
            <w:r>
              <w:rPr>
                <w:i/>
              </w:rPr>
              <w:t xml:space="preserve"> </w:t>
            </w:r>
          </w:p>
          <w:p w:rsidR="00624D5D" w:rsidRDefault="00624D5D" w:rsidP="00A872D2">
            <w:pPr>
              <w:rPr>
                <w:i/>
              </w:rPr>
            </w:pPr>
            <w:r>
              <w:rPr>
                <w:i/>
              </w:rPr>
              <w:t xml:space="preserve"> </w:t>
            </w:r>
          </w:p>
          <w:p w:rsidR="00624D5D" w:rsidRPr="00E94BCB" w:rsidRDefault="00624D5D" w:rsidP="00A872D2">
            <w:pPr>
              <w:rPr>
                <w:i/>
              </w:rPr>
            </w:pPr>
          </w:p>
        </w:tc>
        <w:tc>
          <w:tcPr>
            <w:tcW w:w="2813" w:type="dxa"/>
          </w:tcPr>
          <w:p w:rsidR="00624D5D" w:rsidRPr="00E86C5F" w:rsidRDefault="00624D5D" w:rsidP="00624D5D">
            <w:pPr>
              <w:rPr>
                <w:b/>
              </w:rPr>
            </w:pPr>
            <w:r w:rsidRPr="00E86C5F">
              <w:rPr>
                <w:b/>
              </w:rPr>
              <w:lastRenderedPageBreak/>
              <w:t xml:space="preserve">24, 34 (b, c, d), </w:t>
            </w:r>
          </w:p>
          <w:p w:rsidR="00624D5D" w:rsidRDefault="00624D5D" w:rsidP="00624D5D">
            <w:pPr>
              <w:pStyle w:val="Heading6"/>
            </w:pPr>
            <w:r w:rsidRPr="00E86C5F">
              <w:t>38 (a and b)</w:t>
            </w:r>
          </w:p>
          <w:p w:rsidR="00624D5D" w:rsidRDefault="00624D5D" w:rsidP="00624D5D"/>
          <w:p w:rsidR="00624D5D" w:rsidRPr="00E86C5F" w:rsidRDefault="00624D5D" w:rsidP="00624D5D">
            <w:pPr>
              <w:rPr>
                <w:b/>
                <w:i/>
              </w:rPr>
            </w:pPr>
            <w:r w:rsidRPr="00E86C5F">
              <w:rPr>
                <w:b/>
              </w:rPr>
              <w:t>36, 37, 38, 43, 44, 48</w:t>
            </w:r>
          </w:p>
          <w:p w:rsidR="00624D5D" w:rsidRPr="00624D5D" w:rsidRDefault="00624D5D" w:rsidP="00624D5D"/>
        </w:tc>
      </w:tr>
      <w:tr w:rsidR="00624D5D" w:rsidTr="00F02F03">
        <w:trPr>
          <w:trHeight w:val="560"/>
        </w:trPr>
        <w:tc>
          <w:tcPr>
            <w:tcW w:w="2813" w:type="dxa"/>
          </w:tcPr>
          <w:p w:rsidR="00624D5D" w:rsidRDefault="00624D5D" w:rsidP="00F02F03">
            <w:pPr>
              <w:pStyle w:val="Heading6"/>
              <w:numPr>
                <w:ilvl w:val="0"/>
                <w:numId w:val="12"/>
              </w:numPr>
            </w:pPr>
            <w:r>
              <w:lastRenderedPageBreak/>
              <w:t>May 2</w:t>
            </w:r>
            <w:r w:rsidRPr="00F02F03">
              <w:rPr>
                <w:vertAlign w:val="superscript"/>
              </w:rPr>
              <w:t>nd</w:t>
            </w:r>
          </w:p>
        </w:tc>
        <w:tc>
          <w:tcPr>
            <w:tcW w:w="2813" w:type="dxa"/>
          </w:tcPr>
          <w:p w:rsidR="00624D5D" w:rsidRDefault="00624D5D" w:rsidP="008B2CCC">
            <w:pPr>
              <w:pStyle w:val="Heading6"/>
            </w:pPr>
          </w:p>
        </w:tc>
        <w:tc>
          <w:tcPr>
            <w:tcW w:w="2813" w:type="dxa"/>
          </w:tcPr>
          <w:p w:rsidR="00624D5D" w:rsidRDefault="00624D5D" w:rsidP="00A872D2">
            <w:pPr>
              <w:rPr>
                <w:b/>
              </w:rPr>
            </w:pPr>
          </w:p>
          <w:p w:rsidR="00624D5D" w:rsidRPr="003752CA" w:rsidRDefault="00624D5D" w:rsidP="00A872D2">
            <w:pPr>
              <w:rPr>
                <w:b/>
              </w:rPr>
            </w:pPr>
          </w:p>
        </w:tc>
        <w:tc>
          <w:tcPr>
            <w:tcW w:w="2813" w:type="dxa"/>
          </w:tcPr>
          <w:p w:rsidR="00624D5D" w:rsidRDefault="00624D5D" w:rsidP="008B2CCC">
            <w:pPr>
              <w:pStyle w:val="Heading6"/>
            </w:pPr>
          </w:p>
        </w:tc>
      </w:tr>
      <w:tr w:rsidR="00624D5D" w:rsidTr="00F02F03">
        <w:trPr>
          <w:trHeight w:val="560"/>
        </w:trPr>
        <w:tc>
          <w:tcPr>
            <w:tcW w:w="2813" w:type="dxa"/>
          </w:tcPr>
          <w:p w:rsidR="00624D5D" w:rsidRDefault="00624D5D" w:rsidP="00F02F03">
            <w:pPr>
              <w:pStyle w:val="Heading6"/>
              <w:numPr>
                <w:ilvl w:val="0"/>
                <w:numId w:val="12"/>
              </w:numPr>
            </w:pPr>
            <w:r>
              <w:t>May 9</w:t>
            </w:r>
            <w:r w:rsidRPr="00F02F03">
              <w:rPr>
                <w:vertAlign w:val="superscript"/>
              </w:rPr>
              <w:t>th</w:t>
            </w:r>
          </w:p>
        </w:tc>
        <w:tc>
          <w:tcPr>
            <w:tcW w:w="2813" w:type="dxa"/>
          </w:tcPr>
          <w:p w:rsidR="00624D5D" w:rsidRPr="00FA7944" w:rsidRDefault="00624D5D" w:rsidP="00624D5D">
            <w:pPr>
              <w:rPr>
                <w:b/>
                <w:sz w:val="22"/>
                <w:szCs w:val="22"/>
              </w:rPr>
            </w:pPr>
            <w:r w:rsidRPr="00FA7944">
              <w:rPr>
                <w:b/>
                <w:sz w:val="22"/>
                <w:szCs w:val="22"/>
              </w:rPr>
              <w:t>Complete Liquidations</w:t>
            </w:r>
          </w:p>
          <w:p w:rsidR="00624D5D" w:rsidRPr="00FA7944" w:rsidRDefault="00624D5D" w:rsidP="00624D5D">
            <w:pPr>
              <w:rPr>
                <w:sz w:val="22"/>
                <w:szCs w:val="22"/>
              </w:rPr>
            </w:pPr>
            <w:r w:rsidRPr="00FA7944">
              <w:rPr>
                <w:sz w:val="22"/>
                <w:szCs w:val="22"/>
              </w:rPr>
              <w:t>- The Kimball-Diamond Doctrine and Section 338</w:t>
            </w:r>
          </w:p>
          <w:p w:rsidR="00624D5D" w:rsidRPr="00FA7944" w:rsidRDefault="00624D5D" w:rsidP="00624D5D">
            <w:pPr>
              <w:rPr>
                <w:sz w:val="22"/>
                <w:szCs w:val="22"/>
              </w:rPr>
            </w:pPr>
            <w:r w:rsidRPr="00FA7944">
              <w:rPr>
                <w:sz w:val="22"/>
                <w:szCs w:val="22"/>
              </w:rPr>
              <w:t>- Tax Considerations in Tender Offers</w:t>
            </w:r>
          </w:p>
          <w:p w:rsidR="00624D5D" w:rsidRDefault="00624D5D" w:rsidP="00624D5D">
            <w:r w:rsidRPr="00FA7944">
              <w:rPr>
                <w:sz w:val="22"/>
                <w:szCs w:val="22"/>
              </w:rPr>
              <w:t xml:space="preserve">- The Liquidation- Reincorporation </w:t>
            </w:r>
            <w:proofErr w:type="spellStart"/>
            <w:r w:rsidRPr="00FA7944">
              <w:rPr>
                <w:sz w:val="22"/>
                <w:szCs w:val="22"/>
              </w:rPr>
              <w:t>Doctrin</w:t>
            </w:r>
            <w:proofErr w:type="spellEnd"/>
          </w:p>
        </w:tc>
        <w:tc>
          <w:tcPr>
            <w:tcW w:w="2813" w:type="dxa"/>
          </w:tcPr>
          <w:p w:rsidR="00624D5D" w:rsidRPr="00FA7944" w:rsidRDefault="00624D5D" w:rsidP="00624D5D">
            <w:pPr>
              <w:rPr>
                <w:b/>
                <w:sz w:val="22"/>
                <w:szCs w:val="22"/>
              </w:rPr>
            </w:pPr>
            <w:r w:rsidRPr="00FA7944">
              <w:rPr>
                <w:b/>
                <w:sz w:val="22"/>
                <w:szCs w:val="22"/>
              </w:rPr>
              <w:t xml:space="preserve">Ch. 6 (p. bottom, 16 – end) </w:t>
            </w:r>
          </w:p>
          <w:p w:rsidR="00624D5D" w:rsidRPr="00FA7944" w:rsidRDefault="00624D5D" w:rsidP="00624D5D">
            <w:pPr>
              <w:rPr>
                <w:i/>
                <w:sz w:val="22"/>
                <w:szCs w:val="22"/>
              </w:rPr>
            </w:pPr>
            <w:r w:rsidRPr="00FA7944">
              <w:rPr>
                <w:i/>
                <w:sz w:val="22"/>
                <w:szCs w:val="22"/>
              </w:rPr>
              <w:t>- Economics Issues: Was the government’s victory in the Kimball-Diamond case actually a defeat?</w:t>
            </w:r>
          </w:p>
          <w:p w:rsidR="00624D5D" w:rsidRPr="00624D5D" w:rsidRDefault="00624D5D" w:rsidP="00624D5D">
            <w:pPr>
              <w:rPr>
                <w:i/>
              </w:rPr>
            </w:pPr>
            <w:r w:rsidRPr="00FA7944">
              <w:rPr>
                <w:i/>
                <w:sz w:val="22"/>
                <w:szCs w:val="22"/>
              </w:rPr>
              <w:t>- Planning Issue: Does Section 338 still have usefulness to many taxpayers?</w:t>
            </w:r>
          </w:p>
        </w:tc>
        <w:tc>
          <w:tcPr>
            <w:tcW w:w="2813" w:type="dxa"/>
          </w:tcPr>
          <w:p w:rsidR="00624D5D" w:rsidRDefault="00624D5D" w:rsidP="008B2CCC">
            <w:pPr>
              <w:pStyle w:val="Heading6"/>
            </w:pPr>
            <w:r>
              <w:t>52, 57, 62 (a, b, c)</w:t>
            </w:r>
          </w:p>
        </w:tc>
      </w:tr>
      <w:tr w:rsidR="00624D5D" w:rsidTr="00F02F03">
        <w:trPr>
          <w:trHeight w:val="560"/>
        </w:trPr>
        <w:tc>
          <w:tcPr>
            <w:tcW w:w="2813" w:type="dxa"/>
          </w:tcPr>
          <w:p w:rsidR="00624D5D" w:rsidRDefault="00624D5D" w:rsidP="00F02F03">
            <w:pPr>
              <w:pStyle w:val="Heading6"/>
              <w:numPr>
                <w:ilvl w:val="0"/>
                <w:numId w:val="12"/>
              </w:numPr>
            </w:pPr>
            <w:r>
              <w:t>May 16</w:t>
            </w:r>
            <w:r w:rsidRPr="00F02F03">
              <w:rPr>
                <w:vertAlign w:val="superscript"/>
              </w:rPr>
              <w:t>th</w:t>
            </w:r>
          </w:p>
        </w:tc>
        <w:tc>
          <w:tcPr>
            <w:tcW w:w="2813" w:type="dxa"/>
          </w:tcPr>
          <w:p w:rsidR="00624D5D" w:rsidRPr="00FA7944" w:rsidRDefault="00624D5D" w:rsidP="00624D5D">
            <w:pPr>
              <w:rPr>
                <w:b/>
                <w:sz w:val="22"/>
                <w:szCs w:val="22"/>
              </w:rPr>
            </w:pPr>
            <w:r w:rsidRPr="00FA7944">
              <w:rPr>
                <w:b/>
                <w:sz w:val="22"/>
                <w:szCs w:val="22"/>
              </w:rPr>
              <w:t xml:space="preserve">S Corporations: </w:t>
            </w:r>
          </w:p>
          <w:p w:rsidR="00624D5D" w:rsidRPr="00FA7944" w:rsidRDefault="00624D5D" w:rsidP="00624D5D">
            <w:pPr>
              <w:rPr>
                <w:sz w:val="22"/>
                <w:szCs w:val="22"/>
              </w:rPr>
            </w:pPr>
            <w:r w:rsidRPr="00FA7944">
              <w:rPr>
                <w:sz w:val="22"/>
                <w:szCs w:val="22"/>
              </w:rPr>
              <w:t>- S Corporations: The Taxation of Profits</w:t>
            </w:r>
          </w:p>
          <w:p w:rsidR="00624D5D" w:rsidRPr="00FA7944" w:rsidRDefault="00624D5D" w:rsidP="00624D5D">
            <w:pPr>
              <w:rPr>
                <w:sz w:val="22"/>
                <w:szCs w:val="22"/>
              </w:rPr>
            </w:pPr>
            <w:r w:rsidRPr="00FA7944">
              <w:rPr>
                <w:sz w:val="22"/>
                <w:szCs w:val="22"/>
              </w:rPr>
              <w:t>- S Corporations: The Taxation of Losses</w:t>
            </w:r>
          </w:p>
          <w:p w:rsidR="00624D5D" w:rsidRDefault="00624D5D" w:rsidP="00624D5D">
            <w:r w:rsidRPr="00FA7944">
              <w:rPr>
                <w:sz w:val="22"/>
                <w:szCs w:val="22"/>
              </w:rPr>
              <w:t>- S Corporations: The Taxation of Separately Stated Items</w:t>
            </w:r>
            <w:r>
              <w:t xml:space="preserve"> </w:t>
            </w:r>
          </w:p>
        </w:tc>
        <w:tc>
          <w:tcPr>
            <w:tcW w:w="2813" w:type="dxa"/>
          </w:tcPr>
          <w:p w:rsidR="00624D5D" w:rsidRPr="00FA7944" w:rsidRDefault="00624D5D" w:rsidP="00624D5D">
            <w:pPr>
              <w:rPr>
                <w:b/>
                <w:sz w:val="22"/>
                <w:szCs w:val="22"/>
              </w:rPr>
            </w:pPr>
            <w:r w:rsidRPr="00FA7944">
              <w:rPr>
                <w:b/>
                <w:sz w:val="22"/>
                <w:szCs w:val="22"/>
              </w:rPr>
              <w:t>Ch. 12 (p. 1 to 14; 21 - 24) (Ignore all references to “AEP” and “AAA.”)</w:t>
            </w:r>
          </w:p>
          <w:p w:rsidR="00624D5D" w:rsidRPr="00FA7944" w:rsidRDefault="00624D5D" w:rsidP="00624D5D">
            <w:pPr>
              <w:rPr>
                <w:i/>
                <w:sz w:val="22"/>
                <w:szCs w:val="22"/>
              </w:rPr>
            </w:pPr>
            <w:r w:rsidRPr="00FA7944">
              <w:rPr>
                <w:i/>
                <w:sz w:val="22"/>
                <w:szCs w:val="22"/>
              </w:rPr>
              <w:t>- Economics Issue: What is the economic justification for identifying certain items as “separately stated?”</w:t>
            </w:r>
          </w:p>
          <w:p w:rsidR="00624D5D" w:rsidRDefault="00624D5D" w:rsidP="00FA7944">
            <w:r w:rsidRPr="00FA7944">
              <w:rPr>
                <w:sz w:val="22"/>
                <w:szCs w:val="22"/>
              </w:rPr>
              <w:t xml:space="preserve">- </w:t>
            </w:r>
            <w:r w:rsidRPr="00FA7944">
              <w:rPr>
                <w:i/>
                <w:sz w:val="22"/>
                <w:szCs w:val="22"/>
              </w:rPr>
              <w:t xml:space="preserve">Planning Case: </w:t>
            </w:r>
            <w:r w:rsidRPr="00FA7944">
              <w:rPr>
                <w:sz w:val="22"/>
                <w:szCs w:val="22"/>
              </w:rPr>
              <w:t>Midget S Corporation</w:t>
            </w:r>
          </w:p>
        </w:tc>
        <w:tc>
          <w:tcPr>
            <w:tcW w:w="2813" w:type="dxa"/>
          </w:tcPr>
          <w:p w:rsidR="00624D5D" w:rsidRDefault="00624D5D" w:rsidP="008B2CCC">
            <w:pPr>
              <w:pStyle w:val="Heading6"/>
            </w:pPr>
            <w:r>
              <w:t>24, 31, 33, 37, 38, 39, 40</w:t>
            </w:r>
          </w:p>
        </w:tc>
      </w:tr>
      <w:tr w:rsidR="00624D5D" w:rsidTr="00F02F03">
        <w:trPr>
          <w:trHeight w:val="560"/>
        </w:trPr>
        <w:tc>
          <w:tcPr>
            <w:tcW w:w="2813" w:type="dxa"/>
          </w:tcPr>
          <w:p w:rsidR="00624D5D" w:rsidRDefault="00624D5D" w:rsidP="00F02F03">
            <w:pPr>
              <w:pStyle w:val="Heading6"/>
              <w:numPr>
                <w:ilvl w:val="0"/>
                <w:numId w:val="12"/>
              </w:numPr>
            </w:pPr>
            <w:r>
              <w:t>May 23rd</w:t>
            </w:r>
          </w:p>
        </w:tc>
        <w:tc>
          <w:tcPr>
            <w:tcW w:w="2813" w:type="dxa"/>
          </w:tcPr>
          <w:p w:rsidR="00624D5D" w:rsidRPr="00FA7944" w:rsidRDefault="00624D5D" w:rsidP="00624D5D">
            <w:pPr>
              <w:rPr>
                <w:b/>
                <w:sz w:val="22"/>
                <w:szCs w:val="22"/>
              </w:rPr>
            </w:pPr>
            <w:r w:rsidRPr="00FA7944">
              <w:rPr>
                <w:b/>
                <w:sz w:val="22"/>
                <w:szCs w:val="22"/>
              </w:rPr>
              <w:t>Comparing Partnership Tax Rules to Partnership Financial Accounting Rules</w:t>
            </w:r>
          </w:p>
          <w:p w:rsidR="00624D5D" w:rsidRPr="00FA7944" w:rsidRDefault="00624D5D" w:rsidP="00624D5D">
            <w:pPr>
              <w:rPr>
                <w:sz w:val="22"/>
                <w:szCs w:val="22"/>
              </w:rPr>
            </w:pPr>
            <w:r w:rsidRPr="00FA7944">
              <w:rPr>
                <w:sz w:val="22"/>
                <w:szCs w:val="22"/>
              </w:rPr>
              <w:t>- The Capital Account Concept</w:t>
            </w:r>
          </w:p>
          <w:p w:rsidR="00624D5D" w:rsidRPr="00FA7944" w:rsidRDefault="00624D5D" w:rsidP="00624D5D">
            <w:pPr>
              <w:rPr>
                <w:sz w:val="22"/>
                <w:szCs w:val="22"/>
              </w:rPr>
            </w:pPr>
            <w:r w:rsidRPr="00FA7944">
              <w:rPr>
                <w:sz w:val="22"/>
                <w:szCs w:val="22"/>
              </w:rPr>
              <w:t>- Symmetries Between S Corporation “Flow-Through” Rules and Partnership Rules</w:t>
            </w:r>
          </w:p>
          <w:p w:rsidR="00624D5D" w:rsidRDefault="00624D5D" w:rsidP="00FA7944">
            <w:r w:rsidRPr="00FA7944">
              <w:rPr>
                <w:sz w:val="22"/>
                <w:szCs w:val="22"/>
              </w:rPr>
              <w:t>- The “Substantial Economic Effect” Test</w:t>
            </w:r>
          </w:p>
        </w:tc>
        <w:tc>
          <w:tcPr>
            <w:tcW w:w="2813" w:type="dxa"/>
          </w:tcPr>
          <w:p w:rsidR="00624D5D" w:rsidRDefault="00624D5D" w:rsidP="008B2CCC">
            <w:pPr>
              <w:pStyle w:val="Heading6"/>
            </w:pPr>
          </w:p>
        </w:tc>
        <w:tc>
          <w:tcPr>
            <w:tcW w:w="2813" w:type="dxa"/>
          </w:tcPr>
          <w:p w:rsidR="00624D5D" w:rsidRDefault="00624D5D" w:rsidP="008B2CCC">
            <w:pPr>
              <w:pStyle w:val="Heading6"/>
            </w:pPr>
          </w:p>
        </w:tc>
      </w:tr>
      <w:tr w:rsidR="00624D5D" w:rsidTr="00F02F03">
        <w:trPr>
          <w:trHeight w:val="560"/>
        </w:trPr>
        <w:tc>
          <w:tcPr>
            <w:tcW w:w="2813" w:type="dxa"/>
          </w:tcPr>
          <w:p w:rsidR="00624D5D" w:rsidRDefault="00624D5D" w:rsidP="00F02F03">
            <w:pPr>
              <w:pStyle w:val="Heading6"/>
              <w:numPr>
                <w:ilvl w:val="0"/>
                <w:numId w:val="12"/>
              </w:numPr>
            </w:pPr>
            <w:r>
              <w:t>June 2nd</w:t>
            </w:r>
          </w:p>
        </w:tc>
        <w:tc>
          <w:tcPr>
            <w:tcW w:w="2813" w:type="dxa"/>
          </w:tcPr>
          <w:p w:rsidR="00624D5D" w:rsidRPr="00FA7944" w:rsidRDefault="00624D5D" w:rsidP="00624D5D">
            <w:pPr>
              <w:rPr>
                <w:sz w:val="22"/>
                <w:szCs w:val="22"/>
              </w:rPr>
            </w:pPr>
            <w:r w:rsidRPr="00FA7944">
              <w:rPr>
                <w:sz w:val="22"/>
                <w:szCs w:val="22"/>
              </w:rPr>
              <w:t>Structuring Transactions Between a Partner and the Partnership: Distributions</w:t>
            </w:r>
          </w:p>
        </w:tc>
        <w:tc>
          <w:tcPr>
            <w:tcW w:w="2813" w:type="dxa"/>
          </w:tcPr>
          <w:p w:rsidR="00624D5D" w:rsidRPr="00624D5D" w:rsidRDefault="00624D5D" w:rsidP="00624D5D">
            <w:pPr>
              <w:rPr>
                <w:b/>
              </w:rPr>
            </w:pPr>
            <w:smartTag w:uri="urn:schemas-microsoft-com:office:smarttags" w:element="place">
              <w:smartTag w:uri="urn:schemas-microsoft-com:office:smarttags" w:element="country-region">
                <w:r>
                  <w:rPr>
                    <w:b/>
                  </w:rPr>
                  <w:t>Ch.</w:t>
                </w:r>
              </w:smartTag>
            </w:smartTag>
            <w:r>
              <w:rPr>
                <w:b/>
              </w:rPr>
              <w:t xml:space="preserve"> 11 (p. 1 – 11; 17 – 20) </w:t>
            </w:r>
          </w:p>
        </w:tc>
        <w:tc>
          <w:tcPr>
            <w:tcW w:w="2813" w:type="dxa"/>
          </w:tcPr>
          <w:p w:rsidR="00624D5D" w:rsidRPr="00624D5D" w:rsidRDefault="00624D5D" w:rsidP="00624D5D">
            <w:pPr>
              <w:rPr>
                <w:b/>
              </w:rPr>
            </w:pPr>
            <w:r>
              <w:rPr>
                <w:b/>
              </w:rPr>
              <w:t xml:space="preserve">23, 40, 52, 54, </w:t>
            </w:r>
          </w:p>
        </w:tc>
      </w:tr>
      <w:tr w:rsidR="00624D5D" w:rsidTr="00F02F03">
        <w:trPr>
          <w:trHeight w:val="560"/>
        </w:trPr>
        <w:tc>
          <w:tcPr>
            <w:tcW w:w="2813" w:type="dxa"/>
          </w:tcPr>
          <w:p w:rsidR="00624D5D" w:rsidRDefault="00624D5D" w:rsidP="00F02F03">
            <w:pPr>
              <w:pStyle w:val="Heading6"/>
              <w:ind w:left="720"/>
            </w:pPr>
            <w:r>
              <w:lastRenderedPageBreak/>
              <w:t>Final</w:t>
            </w:r>
            <w:r w:rsidR="00FA7944">
              <w:t>:</w:t>
            </w:r>
          </w:p>
        </w:tc>
        <w:tc>
          <w:tcPr>
            <w:tcW w:w="2813" w:type="dxa"/>
          </w:tcPr>
          <w:p w:rsidR="00624D5D" w:rsidRDefault="0002239F" w:rsidP="008B2CCC">
            <w:pPr>
              <w:pStyle w:val="Heading6"/>
            </w:pPr>
            <w:r>
              <w:t>Monday June 6</w:t>
            </w:r>
            <w:r w:rsidR="00FA7944">
              <w:t>th</w:t>
            </w:r>
          </w:p>
        </w:tc>
        <w:tc>
          <w:tcPr>
            <w:tcW w:w="2813" w:type="dxa"/>
          </w:tcPr>
          <w:p w:rsidR="00624D5D" w:rsidRDefault="0002239F" w:rsidP="008B2CCC">
            <w:pPr>
              <w:pStyle w:val="Heading6"/>
            </w:pPr>
            <w:r>
              <w:t>3:00pm-6:00pm</w:t>
            </w:r>
          </w:p>
        </w:tc>
        <w:tc>
          <w:tcPr>
            <w:tcW w:w="2813" w:type="dxa"/>
          </w:tcPr>
          <w:p w:rsidR="00624D5D" w:rsidRDefault="00624D5D" w:rsidP="008B2CCC">
            <w:pPr>
              <w:pStyle w:val="Heading6"/>
            </w:pPr>
          </w:p>
        </w:tc>
      </w:tr>
    </w:tbl>
    <w:p w:rsidR="00E678D2" w:rsidRDefault="00E678D2" w:rsidP="008B2CCC">
      <w:pPr>
        <w:pStyle w:val="Heading6"/>
      </w:pPr>
    </w:p>
    <w:p w:rsidR="00E678D2" w:rsidRDefault="00E678D2" w:rsidP="00E678D2"/>
    <w:p w:rsidR="007E0941" w:rsidRDefault="007E0941" w:rsidP="00E678D2"/>
    <w:p w:rsidR="007E0941" w:rsidRDefault="007E0941" w:rsidP="00E678D2"/>
    <w:p w:rsidR="00837A4B" w:rsidRDefault="00837A4B" w:rsidP="00E678D2"/>
    <w:p w:rsidR="00E678D2" w:rsidRDefault="00E678D2" w:rsidP="00E678D2"/>
    <w:p w:rsidR="007B5353" w:rsidRDefault="007B5353" w:rsidP="00CE564B">
      <w:pPr>
        <w:jc w:val="both"/>
      </w:pPr>
    </w:p>
    <w:sectPr w:rsidR="007B5353" w:rsidSect="007D4107">
      <w:endnotePr>
        <w:numFmt w:val="decimal"/>
      </w:endnotePr>
      <w:pgSz w:w="12240" w:h="15840"/>
      <w:pgMar w:top="1440" w:right="864" w:bottom="1440" w:left="864"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B7A"/>
    <w:multiLevelType w:val="hybridMultilevel"/>
    <w:tmpl w:val="B4A0D0D0"/>
    <w:lvl w:ilvl="0" w:tplc="BF828F52">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31C5A"/>
    <w:multiLevelType w:val="hybridMultilevel"/>
    <w:tmpl w:val="0A047E20"/>
    <w:lvl w:ilvl="0" w:tplc="C2944658">
      <w:start w:val="3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411EF"/>
    <w:multiLevelType w:val="hybridMultilevel"/>
    <w:tmpl w:val="C10A2380"/>
    <w:lvl w:ilvl="0" w:tplc="08E217F0">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4C6"/>
    <w:multiLevelType w:val="hybridMultilevel"/>
    <w:tmpl w:val="A258B108"/>
    <w:lvl w:ilvl="0" w:tplc="0C6E51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93C70"/>
    <w:multiLevelType w:val="hybridMultilevel"/>
    <w:tmpl w:val="E12A8A10"/>
    <w:lvl w:ilvl="0" w:tplc="E602817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A23E5"/>
    <w:multiLevelType w:val="hybridMultilevel"/>
    <w:tmpl w:val="8E90CD66"/>
    <w:lvl w:ilvl="0" w:tplc="1A1E5A74">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16496"/>
    <w:multiLevelType w:val="hybridMultilevel"/>
    <w:tmpl w:val="92EC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C3952"/>
    <w:multiLevelType w:val="hybridMultilevel"/>
    <w:tmpl w:val="58DC6E00"/>
    <w:lvl w:ilvl="0" w:tplc="5150BEF6">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F698D"/>
    <w:multiLevelType w:val="hybridMultilevel"/>
    <w:tmpl w:val="1B3407E2"/>
    <w:lvl w:ilvl="0" w:tplc="0BA88E6A">
      <w:start w:val="3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2599E"/>
    <w:multiLevelType w:val="hybridMultilevel"/>
    <w:tmpl w:val="AF6E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F4D45"/>
    <w:multiLevelType w:val="hybridMultilevel"/>
    <w:tmpl w:val="7D301B82"/>
    <w:lvl w:ilvl="0" w:tplc="25AEEEB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C0182"/>
    <w:multiLevelType w:val="hybridMultilevel"/>
    <w:tmpl w:val="0C0680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6470A5C"/>
    <w:multiLevelType w:val="hybridMultilevel"/>
    <w:tmpl w:val="59207B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0270AD"/>
    <w:multiLevelType w:val="hybridMultilevel"/>
    <w:tmpl w:val="8E1EBC96"/>
    <w:lvl w:ilvl="0" w:tplc="0B5C1832">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876BC"/>
    <w:multiLevelType w:val="hybridMultilevel"/>
    <w:tmpl w:val="7938DC66"/>
    <w:lvl w:ilvl="0" w:tplc="61321276">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36B5B"/>
    <w:multiLevelType w:val="hybridMultilevel"/>
    <w:tmpl w:val="D6CE45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393776F"/>
    <w:multiLevelType w:val="hybridMultilevel"/>
    <w:tmpl w:val="097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72B07"/>
    <w:multiLevelType w:val="hybridMultilevel"/>
    <w:tmpl w:val="7310A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3C4DA2"/>
    <w:multiLevelType w:val="hybridMultilevel"/>
    <w:tmpl w:val="F9E8CD70"/>
    <w:lvl w:ilvl="0" w:tplc="8192666E">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E58BB"/>
    <w:multiLevelType w:val="hybridMultilevel"/>
    <w:tmpl w:val="FAE82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6C51C4"/>
    <w:multiLevelType w:val="hybridMultilevel"/>
    <w:tmpl w:val="42CC0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19A02FB"/>
    <w:multiLevelType w:val="hybridMultilevel"/>
    <w:tmpl w:val="0F405C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345783E"/>
    <w:multiLevelType w:val="hybridMultilevel"/>
    <w:tmpl w:val="F912C9E0"/>
    <w:lvl w:ilvl="0" w:tplc="692C2DCA">
      <w:start w:val="3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D4FD6"/>
    <w:multiLevelType w:val="hybridMultilevel"/>
    <w:tmpl w:val="56042FCE"/>
    <w:lvl w:ilvl="0" w:tplc="13C826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113678"/>
    <w:multiLevelType w:val="hybridMultilevel"/>
    <w:tmpl w:val="A4E6B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0"/>
  </w:num>
  <w:num w:numId="3">
    <w:abstractNumId w:val="9"/>
  </w:num>
  <w:num w:numId="4">
    <w:abstractNumId w:val="12"/>
  </w:num>
  <w:num w:numId="5">
    <w:abstractNumId w:val="21"/>
  </w:num>
  <w:num w:numId="6">
    <w:abstractNumId w:val="24"/>
  </w:num>
  <w:num w:numId="7">
    <w:abstractNumId w:val="11"/>
  </w:num>
  <w:num w:numId="8">
    <w:abstractNumId w:val="19"/>
  </w:num>
  <w:num w:numId="9">
    <w:abstractNumId w:val="17"/>
  </w:num>
  <w:num w:numId="10">
    <w:abstractNumId w:val="23"/>
  </w:num>
  <w:num w:numId="11">
    <w:abstractNumId w:val="6"/>
  </w:num>
  <w:num w:numId="12">
    <w:abstractNumId w:val="16"/>
  </w:num>
  <w:num w:numId="13">
    <w:abstractNumId w:val="10"/>
  </w:num>
  <w:num w:numId="14">
    <w:abstractNumId w:val="4"/>
  </w:num>
  <w:num w:numId="15">
    <w:abstractNumId w:val="3"/>
  </w:num>
  <w:num w:numId="16">
    <w:abstractNumId w:val="2"/>
  </w:num>
  <w:num w:numId="17">
    <w:abstractNumId w:val="5"/>
  </w:num>
  <w:num w:numId="18">
    <w:abstractNumId w:val="13"/>
  </w:num>
  <w:num w:numId="19">
    <w:abstractNumId w:val="22"/>
  </w:num>
  <w:num w:numId="20">
    <w:abstractNumId w:val="7"/>
  </w:num>
  <w:num w:numId="21">
    <w:abstractNumId w:val="14"/>
  </w:num>
  <w:num w:numId="22">
    <w:abstractNumId w:val="1"/>
  </w:num>
  <w:num w:numId="23">
    <w:abstractNumId w:val="0"/>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E73AF9"/>
    <w:rsid w:val="000034F4"/>
    <w:rsid w:val="00010535"/>
    <w:rsid w:val="00016FF2"/>
    <w:rsid w:val="0002239F"/>
    <w:rsid w:val="00043624"/>
    <w:rsid w:val="0005672D"/>
    <w:rsid w:val="00073744"/>
    <w:rsid w:val="000842F5"/>
    <w:rsid w:val="00091596"/>
    <w:rsid w:val="000B5B86"/>
    <w:rsid w:val="000E06A4"/>
    <w:rsid w:val="00146220"/>
    <w:rsid w:val="0014773F"/>
    <w:rsid w:val="001478C4"/>
    <w:rsid w:val="00151794"/>
    <w:rsid w:val="00197B6A"/>
    <w:rsid w:val="001B784D"/>
    <w:rsid w:val="001D5735"/>
    <w:rsid w:val="001F0798"/>
    <w:rsid w:val="002621FB"/>
    <w:rsid w:val="00262304"/>
    <w:rsid w:val="002875AB"/>
    <w:rsid w:val="002A2148"/>
    <w:rsid w:val="002A5D28"/>
    <w:rsid w:val="002B266A"/>
    <w:rsid w:val="002D05CB"/>
    <w:rsid w:val="002E464A"/>
    <w:rsid w:val="002F2CF3"/>
    <w:rsid w:val="00311568"/>
    <w:rsid w:val="003431AD"/>
    <w:rsid w:val="0035056C"/>
    <w:rsid w:val="003752CA"/>
    <w:rsid w:val="003D5230"/>
    <w:rsid w:val="004846E8"/>
    <w:rsid w:val="004E0F80"/>
    <w:rsid w:val="004E5A8F"/>
    <w:rsid w:val="0053784D"/>
    <w:rsid w:val="00580040"/>
    <w:rsid w:val="005C12AC"/>
    <w:rsid w:val="005C7732"/>
    <w:rsid w:val="00624D5D"/>
    <w:rsid w:val="006403F4"/>
    <w:rsid w:val="00644E31"/>
    <w:rsid w:val="00675268"/>
    <w:rsid w:val="00681FBB"/>
    <w:rsid w:val="006D5751"/>
    <w:rsid w:val="00705001"/>
    <w:rsid w:val="00712C19"/>
    <w:rsid w:val="00715D54"/>
    <w:rsid w:val="00722C90"/>
    <w:rsid w:val="00781ED7"/>
    <w:rsid w:val="007B5353"/>
    <w:rsid w:val="007D4107"/>
    <w:rsid w:val="007E0941"/>
    <w:rsid w:val="00815051"/>
    <w:rsid w:val="00837A4B"/>
    <w:rsid w:val="0085237F"/>
    <w:rsid w:val="00866D0D"/>
    <w:rsid w:val="008838C0"/>
    <w:rsid w:val="00886ACE"/>
    <w:rsid w:val="008B0D4E"/>
    <w:rsid w:val="008B2CCC"/>
    <w:rsid w:val="008C1949"/>
    <w:rsid w:val="008E572F"/>
    <w:rsid w:val="009274CE"/>
    <w:rsid w:val="009400A7"/>
    <w:rsid w:val="00947AF2"/>
    <w:rsid w:val="009C1B7D"/>
    <w:rsid w:val="009F31A2"/>
    <w:rsid w:val="00A11679"/>
    <w:rsid w:val="00A20D9C"/>
    <w:rsid w:val="00A507C2"/>
    <w:rsid w:val="00A57029"/>
    <w:rsid w:val="00A678C0"/>
    <w:rsid w:val="00A82AF3"/>
    <w:rsid w:val="00A8649A"/>
    <w:rsid w:val="00AB0845"/>
    <w:rsid w:val="00AB6BA2"/>
    <w:rsid w:val="00AC6253"/>
    <w:rsid w:val="00AC69CD"/>
    <w:rsid w:val="00B0199D"/>
    <w:rsid w:val="00B45685"/>
    <w:rsid w:val="00B71AF9"/>
    <w:rsid w:val="00B965E8"/>
    <w:rsid w:val="00BD151C"/>
    <w:rsid w:val="00BE100C"/>
    <w:rsid w:val="00BE55FB"/>
    <w:rsid w:val="00BF2CCD"/>
    <w:rsid w:val="00BF7EAA"/>
    <w:rsid w:val="00C305FD"/>
    <w:rsid w:val="00C30696"/>
    <w:rsid w:val="00C37D3B"/>
    <w:rsid w:val="00C53071"/>
    <w:rsid w:val="00C602A6"/>
    <w:rsid w:val="00C7793A"/>
    <w:rsid w:val="00C820A3"/>
    <w:rsid w:val="00CB5C72"/>
    <w:rsid w:val="00CC2B07"/>
    <w:rsid w:val="00CE0CB8"/>
    <w:rsid w:val="00CE564B"/>
    <w:rsid w:val="00CF631B"/>
    <w:rsid w:val="00D0353F"/>
    <w:rsid w:val="00D32788"/>
    <w:rsid w:val="00D33018"/>
    <w:rsid w:val="00D7529D"/>
    <w:rsid w:val="00DC5BCF"/>
    <w:rsid w:val="00DD06FC"/>
    <w:rsid w:val="00DD350D"/>
    <w:rsid w:val="00E33D90"/>
    <w:rsid w:val="00E3533F"/>
    <w:rsid w:val="00E678D2"/>
    <w:rsid w:val="00E71137"/>
    <w:rsid w:val="00E73AF9"/>
    <w:rsid w:val="00E75AF7"/>
    <w:rsid w:val="00E82F66"/>
    <w:rsid w:val="00E841F3"/>
    <w:rsid w:val="00E86C5F"/>
    <w:rsid w:val="00E900F5"/>
    <w:rsid w:val="00E97B6C"/>
    <w:rsid w:val="00EA7440"/>
    <w:rsid w:val="00EB3686"/>
    <w:rsid w:val="00EF68C6"/>
    <w:rsid w:val="00F02F03"/>
    <w:rsid w:val="00F07928"/>
    <w:rsid w:val="00F07B8E"/>
    <w:rsid w:val="00F21DF9"/>
    <w:rsid w:val="00F35197"/>
    <w:rsid w:val="00F623DC"/>
    <w:rsid w:val="00F86AD7"/>
    <w:rsid w:val="00F943FD"/>
    <w:rsid w:val="00FA0132"/>
    <w:rsid w:val="00FA7944"/>
    <w:rsid w:val="00FC0F79"/>
    <w:rsid w:val="00FD6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107"/>
    <w:pPr>
      <w:widowControl w:val="0"/>
    </w:pPr>
    <w:rPr>
      <w:snapToGrid w:val="0"/>
      <w:sz w:val="24"/>
    </w:rPr>
  </w:style>
  <w:style w:type="paragraph" w:styleId="Heading1">
    <w:name w:val="heading 1"/>
    <w:basedOn w:val="Normal"/>
    <w:next w:val="Normal"/>
    <w:qFormat/>
    <w:rsid w:val="007D4107"/>
    <w:pPr>
      <w:keepNext/>
      <w:widowControl/>
      <w:outlineLvl w:val="0"/>
    </w:pPr>
    <w:rPr>
      <w:b/>
      <w:snapToGrid/>
    </w:rPr>
  </w:style>
  <w:style w:type="paragraph" w:styleId="Heading2">
    <w:name w:val="heading 2"/>
    <w:basedOn w:val="Normal"/>
    <w:next w:val="Normal"/>
    <w:qFormat/>
    <w:rsid w:val="007D4107"/>
    <w:pPr>
      <w:keepNext/>
      <w:widowControl/>
      <w:outlineLvl w:val="1"/>
    </w:pPr>
    <w:rPr>
      <w:snapToGrid/>
    </w:rPr>
  </w:style>
  <w:style w:type="paragraph" w:styleId="Heading5">
    <w:name w:val="heading 5"/>
    <w:basedOn w:val="Normal"/>
    <w:next w:val="Normal"/>
    <w:qFormat/>
    <w:rsid w:val="00EF68C6"/>
    <w:pPr>
      <w:spacing w:before="240" w:after="60"/>
      <w:outlineLvl w:val="4"/>
    </w:pPr>
    <w:rPr>
      <w:b/>
      <w:bCs/>
      <w:i/>
      <w:iCs/>
      <w:sz w:val="26"/>
      <w:szCs w:val="26"/>
    </w:rPr>
  </w:style>
  <w:style w:type="paragraph" w:styleId="Heading6">
    <w:name w:val="heading 6"/>
    <w:basedOn w:val="Normal"/>
    <w:next w:val="Normal"/>
    <w:qFormat/>
    <w:rsid w:val="00E678D2"/>
    <w:pPr>
      <w:spacing w:before="240" w:after="60"/>
      <w:outlineLvl w:val="5"/>
    </w:pPr>
    <w:rPr>
      <w:b/>
      <w:bCs/>
      <w:sz w:val="22"/>
      <w:szCs w:val="22"/>
    </w:rPr>
  </w:style>
  <w:style w:type="paragraph" w:styleId="Heading8">
    <w:name w:val="heading 8"/>
    <w:basedOn w:val="Normal"/>
    <w:next w:val="Normal"/>
    <w:qFormat/>
    <w:rsid w:val="00EF68C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D4107"/>
  </w:style>
  <w:style w:type="paragraph" w:styleId="Title">
    <w:name w:val="Title"/>
    <w:basedOn w:val="Normal"/>
    <w:qFormat/>
    <w:rsid w:val="007D4107"/>
    <w:pPr>
      <w:widowControl/>
      <w:jc w:val="center"/>
    </w:pPr>
    <w:rPr>
      <w:b/>
      <w:snapToGrid/>
      <w:sz w:val="28"/>
    </w:rPr>
  </w:style>
  <w:style w:type="paragraph" w:styleId="Subtitle">
    <w:name w:val="Subtitle"/>
    <w:basedOn w:val="Normal"/>
    <w:qFormat/>
    <w:rsid w:val="007D4107"/>
    <w:pPr>
      <w:widowControl/>
      <w:jc w:val="center"/>
    </w:pPr>
    <w:rPr>
      <w:b/>
      <w:snapToGrid/>
    </w:rPr>
  </w:style>
  <w:style w:type="paragraph" w:styleId="BodyText">
    <w:name w:val="Body Text"/>
    <w:basedOn w:val="Normal"/>
    <w:rsid w:val="007D4107"/>
    <w:pPr>
      <w:widowControl/>
      <w:jc w:val="both"/>
    </w:pPr>
    <w:rPr>
      <w:snapToGrid/>
    </w:rPr>
  </w:style>
  <w:style w:type="character" w:styleId="Hyperlink">
    <w:name w:val="Hyperlink"/>
    <w:basedOn w:val="DefaultParagraphFont"/>
    <w:rsid w:val="00DC5BCF"/>
    <w:rPr>
      <w:color w:val="0000FF"/>
      <w:u w:val="single"/>
    </w:rPr>
  </w:style>
  <w:style w:type="paragraph" w:styleId="BodyTextIndent2">
    <w:name w:val="Body Text Indent 2"/>
    <w:basedOn w:val="Normal"/>
    <w:rsid w:val="00EF68C6"/>
    <w:pPr>
      <w:spacing w:after="120" w:line="480" w:lineRule="auto"/>
      <w:ind w:left="360"/>
    </w:pPr>
  </w:style>
  <w:style w:type="paragraph" w:styleId="EnvelopeReturn">
    <w:name w:val="envelope return"/>
    <w:basedOn w:val="Normal"/>
    <w:rsid w:val="00EF68C6"/>
    <w:pPr>
      <w:widowControl/>
      <w:tabs>
        <w:tab w:val="left" w:pos="3960"/>
      </w:tabs>
      <w:spacing w:line="240" w:lineRule="atLeast"/>
    </w:pPr>
    <w:rPr>
      <w:snapToGrid/>
    </w:rPr>
  </w:style>
  <w:style w:type="paragraph" w:styleId="BodyText2">
    <w:name w:val="Body Text 2"/>
    <w:basedOn w:val="Normal"/>
    <w:rsid w:val="00E678D2"/>
    <w:pPr>
      <w:spacing w:after="120" w:line="480" w:lineRule="auto"/>
    </w:pPr>
  </w:style>
  <w:style w:type="character" w:styleId="HTMLTypewriter">
    <w:name w:val="HTML Typewriter"/>
    <w:basedOn w:val="DefaultParagraphFont"/>
    <w:rsid w:val="00E678D2"/>
    <w:rPr>
      <w:rFonts w:ascii="Courier New" w:eastAsia="Times New Roman" w:hAnsi="Courier New" w:cs="Courier New"/>
      <w:sz w:val="20"/>
      <w:szCs w:val="20"/>
    </w:rPr>
  </w:style>
  <w:style w:type="paragraph" w:styleId="BalloonText">
    <w:name w:val="Balloon Text"/>
    <w:basedOn w:val="Normal"/>
    <w:semiHidden/>
    <w:rsid w:val="00712C19"/>
    <w:rPr>
      <w:rFonts w:ascii="Tahoma" w:hAnsi="Tahoma" w:cs="Tahoma"/>
      <w:sz w:val="16"/>
      <w:szCs w:val="16"/>
    </w:rPr>
  </w:style>
  <w:style w:type="table" w:styleId="TableGrid">
    <w:name w:val="Table Grid"/>
    <w:basedOn w:val="TableNormal"/>
    <w:rsid w:val="00F02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D5D"/>
    <w:pPr>
      <w:ind w:left="720"/>
      <w:contextualSpacing/>
    </w:pPr>
  </w:style>
</w:styles>
</file>

<file path=word/webSettings.xml><?xml version="1.0" encoding="utf-8"?>
<w:webSettings xmlns:r="http://schemas.openxmlformats.org/officeDocument/2006/relationships" xmlns:w="http://schemas.openxmlformats.org/wordprocessingml/2006/main">
  <w:divs>
    <w:div w:id="17459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Management 127A:  Tax Principles and Policy</vt:lpstr>
    </vt:vector>
  </TitlesOfParts>
  <Company>UCLA</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127A:  Tax Principles and Policy</dc:title>
  <dc:subject/>
  <dc:creator>lbeshara</dc:creator>
  <cp:keywords/>
  <dc:description/>
  <cp:lastModifiedBy>Anderson</cp:lastModifiedBy>
  <cp:revision>4</cp:revision>
  <cp:lastPrinted>2009-03-20T20:22:00Z</cp:lastPrinted>
  <dcterms:created xsi:type="dcterms:W3CDTF">2011-03-18T21:17:00Z</dcterms:created>
  <dcterms:modified xsi:type="dcterms:W3CDTF">2011-03-18T21:52:00Z</dcterms:modified>
</cp:coreProperties>
</file>